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2F71" w14:textId="344F3700" w:rsidR="00DD298C" w:rsidRPr="00DF5232" w:rsidRDefault="00EE5DEC" w:rsidP="00EE5DEC">
      <w:pPr>
        <w:spacing w:after="0"/>
        <w:jc w:val="center"/>
      </w:pPr>
      <w:r w:rsidRPr="00DF5232">
        <w:rPr>
          <w:b/>
          <w:noProof/>
          <w:sz w:val="30"/>
          <w:szCs w:val="30"/>
          <w:lang w:eastAsia="pt-BR"/>
        </w:rPr>
        <w:t xml:space="preserve">DEMONSTRAÇÕES FINANCEIRAS </w:t>
      </w:r>
      <w:r w:rsidR="00DF5232" w:rsidRPr="00DF5232">
        <w:rPr>
          <w:b/>
          <w:noProof/>
          <w:sz w:val="30"/>
          <w:szCs w:val="30"/>
          <w:lang w:eastAsia="pt-BR"/>
        </w:rPr>
        <w:t>3</w:t>
      </w:r>
      <w:r w:rsidR="00E713AD" w:rsidRPr="00DF5232">
        <w:rPr>
          <w:b/>
          <w:noProof/>
          <w:sz w:val="30"/>
          <w:szCs w:val="30"/>
          <w:lang w:eastAsia="pt-BR"/>
        </w:rPr>
        <w:t xml:space="preserve">° </w:t>
      </w:r>
      <w:r w:rsidR="00DF5232" w:rsidRPr="00DF5232">
        <w:rPr>
          <w:b/>
          <w:noProof/>
          <w:sz w:val="30"/>
          <w:szCs w:val="30"/>
          <w:lang w:eastAsia="pt-BR"/>
        </w:rPr>
        <w:t>TRIMESTRE</w:t>
      </w:r>
      <w:r w:rsidR="00E713AD" w:rsidRPr="00DF5232">
        <w:rPr>
          <w:b/>
          <w:noProof/>
          <w:sz w:val="30"/>
          <w:szCs w:val="30"/>
          <w:lang w:eastAsia="pt-BR"/>
        </w:rPr>
        <w:t xml:space="preserve"> DE 2022</w:t>
      </w:r>
    </w:p>
    <w:p w14:paraId="7DE4F337" w14:textId="09421E30" w:rsidR="00C53198" w:rsidRPr="00A168D4" w:rsidRDefault="00C53198" w:rsidP="00EE5DEC">
      <w:pPr>
        <w:spacing w:after="0"/>
        <w:jc w:val="center"/>
        <w:rPr>
          <w:highlight w:val="yellow"/>
        </w:rPr>
      </w:pPr>
    </w:p>
    <w:p w14:paraId="53539345" w14:textId="24AAE5D0" w:rsidR="00C53198" w:rsidRPr="00A168D4" w:rsidRDefault="00BB5FEC" w:rsidP="00EE5DEC">
      <w:pPr>
        <w:spacing w:after="0"/>
        <w:jc w:val="center"/>
        <w:rPr>
          <w:highlight w:val="yellow"/>
        </w:rPr>
      </w:pPr>
      <w:r w:rsidRPr="00BB5FEC">
        <w:rPr>
          <w:noProof/>
        </w:rPr>
        <w:drawing>
          <wp:inline distT="0" distB="0" distL="0" distR="0" wp14:anchorId="632D694F" wp14:editId="0A5EB0AA">
            <wp:extent cx="5639504" cy="765810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283" cy="76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9582" w14:textId="6BE23243" w:rsidR="00C53198" w:rsidRPr="00A168D4" w:rsidRDefault="00C53198" w:rsidP="00EE5DEC">
      <w:pPr>
        <w:spacing w:after="0"/>
        <w:jc w:val="center"/>
        <w:rPr>
          <w:highlight w:val="yellow"/>
        </w:rPr>
      </w:pPr>
    </w:p>
    <w:p w14:paraId="30857518" w14:textId="4DB79B61" w:rsidR="00C53198" w:rsidRPr="00A168D4" w:rsidRDefault="00C53198" w:rsidP="00EE5DEC">
      <w:pPr>
        <w:spacing w:after="0"/>
        <w:jc w:val="center"/>
        <w:rPr>
          <w:highlight w:val="yellow"/>
        </w:rPr>
      </w:pPr>
    </w:p>
    <w:p w14:paraId="0AE9DD88" w14:textId="41AD0A23" w:rsidR="00C53198" w:rsidRPr="00A168D4" w:rsidRDefault="004D4241" w:rsidP="00EE5DEC">
      <w:pPr>
        <w:spacing w:after="0"/>
        <w:jc w:val="center"/>
        <w:rPr>
          <w:highlight w:val="yellow"/>
        </w:rPr>
      </w:pPr>
      <w:r w:rsidRPr="004D4241">
        <w:rPr>
          <w:noProof/>
        </w:rPr>
        <w:lastRenderedPageBreak/>
        <w:drawing>
          <wp:inline distT="0" distB="0" distL="0" distR="0" wp14:anchorId="686E3222" wp14:editId="311ED123">
            <wp:extent cx="5572342" cy="6276539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529" cy="628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46CA5" w14:textId="2AABC513" w:rsidR="00C53198" w:rsidRPr="00A168D4" w:rsidRDefault="00C53198" w:rsidP="00EE5DEC">
      <w:pPr>
        <w:spacing w:after="0"/>
        <w:jc w:val="center"/>
        <w:rPr>
          <w:highlight w:val="yellow"/>
        </w:rPr>
      </w:pPr>
    </w:p>
    <w:p w14:paraId="7E28BF4B" w14:textId="77777777" w:rsidR="00C53198" w:rsidRPr="00A168D4" w:rsidRDefault="00C53198" w:rsidP="00EE5DEC">
      <w:pPr>
        <w:spacing w:after="0"/>
        <w:jc w:val="center"/>
        <w:rPr>
          <w:highlight w:val="yellow"/>
        </w:rPr>
      </w:pPr>
    </w:p>
    <w:p w14:paraId="7C3F99C7" w14:textId="3B83F5EB" w:rsidR="00C53198" w:rsidRDefault="00C53198" w:rsidP="00EE5DEC">
      <w:pPr>
        <w:spacing w:after="0"/>
        <w:jc w:val="center"/>
        <w:rPr>
          <w:highlight w:val="yellow"/>
        </w:rPr>
      </w:pPr>
    </w:p>
    <w:p w14:paraId="507E1954" w14:textId="2AB189EB" w:rsidR="004D4241" w:rsidRDefault="004D4241" w:rsidP="00EE5DEC">
      <w:pPr>
        <w:spacing w:after="0"/>
        <w:jc w:val="center"/>
        <w:rPr>
          <w:highlight w:val="yellow"/>
        </w:rPr>
      </w:pPr>
    </w:p>
    <w:p w14:paraId="7804D2D6" w14:textId="6C194D1B" w:rsidR="004D4241" w:rsidRDefault="004D4241" w:rsidP="00EE5DEC">
      <w:pPr>
        <w:spacing w:after="0"/>
        <w:jc w:val="center"/>
        <w:rPr>
          <w:highlight w:val="yellow"/>
        </w:rPr>
      </w:pPr>
    </w:p>
    <w:p w14:paraId="21AFFE45" w14:textId="064A0901" w:rsidR="004D4241" w:rsidRDefault="004D4241" w:rsidP="00EE5DEC">
      <w:pPr>
        <w:spacing w:after="0"/>
        <w:jc w:val="center"/>
        <w:rPr>
          <w:highlight w:val="yellow"/>
        </w:rPr>
      </w:pPr>
    </w:p>
    <w:p w14:paraId="6148244F" w14:textId="77777777" w:rsidR="004D4241" w:rsidRDefault="004D4241" w:rsidP="00EE5DEC">
      <w:pPr>
        <w:spacing w:after="0"/>
        <w:jc w:val="center"/>
        <w:rPr>
          <w:highlight w:val="yellow"/>
        </w:rPr>
      </w:pPr>
    </w:p>
    <w:p w14:paraId="443A58F1" w14:textId="0D72E44E" w:rsidR="004D4241" w:rsidRDefault="004D4241" w:rsidP="00EE5DEC">
      <w:pPr>
        <w:spacing w:after="0"/>
        <w:jc w:val="center"/>
        <w:rPr>
          <w:highlight w:val="yellow"/>
        </w:rPr>
      </w:pPr>
    </w:p>
    <w:p w14:paraId="0BAD3425" w14:textId="77777777" w:rsidR="004D4241" w:rsidRPr="00A168D4" w:rsidRDefault="004D4241" w:rsidP="00EE5DEC">
      <w:pPr>
        <w:spacing w:after="0"/>
        <w:jc w:val="center"/>
        <w:rPr>
          <w:highlight w:val="yellow"/>
        </w:rPr>
      </w:pPr>
    </w:p>
    <w:p w14:paraId="2EFB591C" w14:textId="77777777" w:rsidR="00C53198" w:rsidRPr="00A168D4" w:rsidRDefault="00C53198" w:rsidP="00EE5DEC">
      <w:pPr>
        <w:spacing w:after="0"/>
        <w:jc w:val="center"/>
        <w:rPr>
          <w:highlight w:val="yellow"/>
        </w:rPr>
      </w:pPr>
    </w:p>
    <w:p w14:paraId="4E903991" w14:textId="0544C52B" w:rsidR="00FE42C8" w:rsidRPr="00A168D4" w:rsidRDefault="00FE42C8" w:rsidP="00D86B96">
      <w:pPr>
        <w:spacing w:after="0"/>
        <w:jc w:val="center"/>
        <w:rPr>
          <w:noProof/>
          <w:highlight w:val="yellow"/>
          <w:lang w:eastAsia="pt-BR"/>
        </w:rPr>
      </w:pPr>
    </w:p>
    <w:p w14:paraId="32EA9AC4" w14:textId="77777777" w:rsidR="00CA0F22" w:rsidRPr="001D5A73" w:rsidRDefault="00CA0F22" w:rsidP="00EE5DEC">
      <w:pPr>
        <w:spacing w:after="0"/>
        <w:contextualSpacing/>
        <w:jc w:val="center"/>
        <w:rPr>
          <w:b/>
          <w:sz w:val="24"/>
        </w:rPr>
      </w:pPr>
      <w:r w:rsidRPr="001D5A73">
        <w:rPr>
          <w:b/>
          <w:sz w:val="24"/>
        </w:rPr>
        <w:lastRenderedPageBreak/>
        <w:t>EMPRESA DE INFORMÁTICA E INFORMAÇÃO DO MUNICÍPIO DE BELO HORIZONTE S/A</w:t>
      </w:r>
    </w:p>
    <w:p w14:paraId="6D401BC1" w14:textId="77777777" w:rsidR="00CA0F22" w:rsidRPr="001D5A73" w:rsidRDefault="00CA0F22" w:rsidP="00EE5DEC">
      <w:pPr>
        <w:spacing w:after="0"/>
        <w:contextualSpacing/>
        <w:jc w:val="center"/>
        <w:rPr>
          <w:b/>
          <w:sz w:val="24"/>
        </w:rPr>
      </w:pPr>
      <w:r w:rsidRPr="001D5A73">
        <w:rPr>
          <w:b/>
          <w:sz w:val="24"/>
        </w:rPr>
        <w:t>CNPJ 18.239.038/0001-87</w:t>
      </w:r>
    </w:p>
    <w:p w14:paraId="4F75B10D" w14:textId="3FD7C095" w:rsidR="00CA0F22" w:rsidRPr="001D5A73" w:rsidRDefault="00CA0F22" w:rsidP="00EE5DEC">
      <w:pPr>
        <w:spacing w:after="0"/>
        <w:contextualSpacing/>
        <w:jc w:val="center"/>
        <w:rPr>
          <w:b/>
          <w:sz w:val="24"/>
        </w:rPr>
      </w:pPr>
      <w:r w:rsidRPr="001D5A73">
        <w:rPr>
          <w:b/>
          <w:sz w:val="24"/>
        </w:rPr>
        <w:t>NOTAS EXPLICAT</w:t>
      </w:r>
      <w:r w:rsidR="00473F9C" w:rsidRPr="001D5A73">
        <w:rPr>
          <w:b/>
          <w:sz w:val="24"/>
        </w:rPr>
        <w:t>IVAS ÀS DEMONSTRAÇÕES CONTÁBEIS</w:t>
      </w:r>
    </w:p>
    <w:p w14:paraId="711615F6" w14:textId="08410248" w:rsidR="00CA0F22" w:rsidRPr="001D5A73" w:rsidRDefault="00473F9C" w:rsidP="00EE5DEC">
      <w:pPr>
        <w:spacing w:after="0"/>
        <w:contextualSpacing/>
        <w:jc w:val="center"/>
        <w:rPr>
          <w:b/>
          <w:sz w:val="24"/>
        </w:rPr>
      </w:pPr>
      <w:r w:rsidRPr="001D5A73">
        <w:rPr>
          <w:b/>
          <w:sz w:val="24"/>
        </w:rPr>
        <w:t>Períodos</w:t>
      </w:r>
      <w:r w:rsidR="00BF1826" w:rsidRPr="001D5A73">
        <w:rPr>
          <w:b/>
          <w:sz w:val="24"/>
        </w:rPr>
        <w:t xml:space="preserve"> </w:t>
      </w:r>
      <w:r w:rsidRPr="001D5A73">
        <w:rPr>
          <w:b/>
          <w:sz w:val="24"/>
        </w:rPr>
        <w:t>findos em 30</w:t>
      </w:r>
      <w:r w:rsidR="00EC08C0" w:rsidRPr="001D5A73">
        <w:rPr>
          <w:b/>
          <w:sz w:val="24"/>
        </w:rPr>
        <w:t xml:space="preserve"> de </w:t>
      </w:r>
      <w:r w:rsidR="001D5A73" w:rsidRPr="001D5A73">
        <w:rPr>
          <w:b/>
          <w:sz w:val="24"/>
        </w:rPr>
        <w:t>setembro</w:t>
      </w:r>
      <w:r w:rsidR="00B77B38" w:rsidRPr="001D5A73">
        <w:rPr>
          <w:b/>
          <w:sz w:val="24"/>
        </w:rPr>
        <w:t xml:space="preserve"> de 2022 e 2021</w:t>
      </w:r>
      <w:r w:rsidR="00BF1826" w:rsidRPr="001D5A73">
        <w:rPr>
          <w:b/>
          <w:sz w:val="24"/>
        </w:rPr>
        <w:t xml:space="preserve"> - Em R$ 1,00</w:t>
      </w:r>
    </w:p>
    <w:p w14:paraId="264A1456" w14:textId="77777777" w:rsidR="00AA2A2F" w:rsidRPr="001D5A73" w:rsidRDefault="00AA2A2F" w:rsidP="00EE5DEC">
      <w:pPr>
        <w:pStyle w:val="PargrafodaLista"/>
        <w:numPr>
          <w:ilvl w:val="0"/>
          <w:numId w:val="4"/>
        </w:numPr>
        <w:spacing w:after="0"/>
        <w:ind w:left="357"/>
        <w:jc w:val="both"/>
      </w:pPr>
      <w:r w:rsidRPr="001D5A73">
        <w:rPr>
          <w:b/>
        </w:rPr>
        <w:t>Contexto Operacional</w:t>
      </w:r>
      <w:r w:rsidRPr="001D5A73">
        <w:t xml:space="preserve"> </w:t>
      </w:r>
    </w:p>
    <w:p w14:paraId="59FC13A2" w14:textId="77777777" w:rsidR="002A58FE" w:rsidRPr="001D5A73" w:rsidRDefault="002A58FE" w:rsidP="00FE3A70">
      <w:pPr>
        <w:tabs>
          <w:tab w:val="left" w:pos="4678"/>
        </w:tabs>
        <w:spacing w:after="0" w:line="240" w:lineRule="auto"/>
        <w:ind w:left="357" w:firstLine="493"/>
        <w:jc w:val="both"/>
      </w:pPr>
    </w:p>
    <w:p w14:paraId="02FAF180" w14:textId="77777777" w:rsidR="00AA2A2F" w:rsidRPr="001D5A73" w:rsidRDefault="00AA2A2F" w:rsidP="00FE3A70">
      <w:pPr>
        <w:tabs>
          <w:tab w:val="left" w:pos="4678"/>
        </w:tabs>
        <w:spacing w:after="0" w:line="240" w:lineRule="auto"/>
        <w:ind w:left="357" w:firstLine="493"/>
        <w:jc w:val="both"/>
      </w:pPr>
      <w:r w:rsidRPr="001D5A73">
        <w:t xml:space="preserve">A PRODABEL é uma sociedade de economia mista, de capital fechado, com sede em Belo Horizonte/MG, e tem como acionista principal a Prefeitura Municipal de Belo Horizonte. Tem como objeto social a prestação de serviços de informática e informação à administração municipal, disponibilizando serviços de qualidade, integrando e gerenciando as soluções de TIC e inclusão digital para a PBH. Grande parte do custo dos diversos serviços prestados pela companhia é suportada diretamente por recursos oriundos do Tesouro Municipal, mediante subvenção econômica concedida pela PBH. </w:t>
      </w:r>
    </w:p>
    <w:p w14:paraId="5219FCC5" w14:textId="77777777" w:rsidR="009D4A69" w:rsidRPr="001D5A73" w:rsidRDefault="009D4A69" w:rsidP="00FE3A70">
      <w:pPr>
        <w:tabs>
          <w:tab w:val="left" w:pos="4678"/>
        </w:tabs>
        <w:spacing w:after="0" w:line="240" w:lineRule="auto"/>
        <w:ind w:left="357" w:firstLine="493"/>
        <w:jc w:val="both"/>
      </w:pPr>
    </w:p>
    <w:p w14:paraId="700F6F33" w14:textId="77777777" w:rsidR="00AA2A2F" w:rsidRPr="001D5A73" w:rsidRDefault="00AA2A2F" w:rsidP="00EE5DEC">
      <w:pPr>
        <w:pStyle w:val="PargrafodaLista"/>
        <w:numPr>
          <w:ilvl w:val="0"/>
          <w:numId w:val="4"/>
        </w:numPr>
        <w:spacing w:after="0"/>
        <w:ind w:left="357"/>
        <w:jc w:val="both"/>
      </w:pPr>
      <w:r w:rsidRPr="001D5A73">
        <w:rPr>
          <w:b/>
        </w:rPr>
        <w:t>Apresentação das Demonstrações Financeiras</w:t>
      </w:r>
      <w:r w:rsidRPr="001D5A73">
        <w:t xml:space="preserve"> </w:t>
      </w:r>
    </w:p>
    <w:p w14:paraId="368A20CB" w14:textId="77777777" w:rsidR="002A58FE" w:rsidRPr="00A168D4" w:rsidRDefault="002A58FE" w:rsidP="00EE5DEC">
      <w:pPr>
        <w:spacing w:after="0" w:line="240" w:lineRule="auto"/>
        <w:ind w:left="357" w:firstLine="493"/>
        <w:jc w:val="both"/>
        <w:rPr>
          <w:highlight w:val="yellow"/>
        </w:rPr>
      </w:pPr>
    </w:p>
    <w:p w14:paraId="1B29DE1C" w14:textId="18F7CE96" w:rsidR="00AA2A2F" w:rsidRPr="001D5A73" w:rsidRDefault="00AA2A2F" w:rsidP="00EE5DEC">
      <w:pPr>
        <w:spacing w:after="0" w:line="240" w:lineRule="auto"/>
        <w:ind w:left="357" w:firstLine="493"/>
        <w:jc w:val="both"/>
      </w:pPr>
      <w:r w:rsidRPr="001D5A73">
        <w:t xml:space="preserve">Essas Demonstrações Financeiras foram elaboradas de acordo com as políticas contábeis adotadas no Brasil compreendendo: A Lei das sociedades por Ações (6.404/76) que incorporam os dispositivos das Leis 11.638/07 e 11.941/09; </w:t>
      </w:r>
      <w:r w:rsidR="0033450E" w:rsidRPr="001D5A73">
        <w:t xml:space="preserve">Lei 13.303 de 30/06/2016 </w:t>
      </w:r>
      <w:r w:rsidRPr="001D5A73">
        <w:t>e as normas de contabilidade aprovadas pelo Conselho Federal de Contabilidade (CFC) em especial a NBC TG 1000 Contabilidade para Pequenas e Médias Empresas.</w:t>
      </w:r>
    </w:p>
    <w:p w14:paraId="303A95D7" w14:textId="77777777" w:rsidR="00AA2A2F" w:rsidRPr="001D5A73" w:rsidRDefault="00AA2A2F" w:rsidP="00EE5DEC">
      <w:pPr>
        <w:spacing w:after="0" w:line="240" w:lineRule="auto"/>
        <w:ind w:left="357" w:firstLine="493"/>
        <w:jc w:val="both"/>
      </w:pPr>
      <w:r w:rsidRPr="001D5A73">
        <w:t xml:space="preserve">Em concordância com a legislação aplicada e a NBC TG 26 – Apresentação das Demonstrações Contábeis, emitida e aprovada pelo conselho Federal de Contabilidade, os demonstrativos contábeis estão apresentados de forma comparativa ao exercício anterior. </w:t>
      </w:r>
    </w:p>
    <w:p w14:paraId="52931F63" w14:textId="77777777" w:rsidR="00AA2A2F" w:rsidRPr="001D5A73" w:rsidRDefault="00AA2A2F" w:rsidP="00EE5DEC">
      <w:pPr>
        <w:spacing w:after="0" w:line="240" w:lineRule="auto"/>
        <w:ind w:left="357" w:firstLine="493"/>
        <w:jc w:val="both"/>
      </w:pPr>
      <w:r w:rsidRPr="001D5A73">
        <w:t>As principais práticas contábeis aplicadas na preparação destas demonstrações estão definidas a seguir. Essas práticas vêm sendo aplicadas de modo consistente em todos os exercícios apresentados, salvo disposição em contrário.</w:t>
      </w:r>
    </w:p>
    <w:p w14:paraId="6DC89E0B" w14:textId="77777777" w:rsidR="009D4A69" w:rsidRPr="001D5A73" w:rsidRDefault="009D4A69" w:rsidP="006C79F0">
      <w:pPr>
        <w:spacing w:after="0" w:line="240" w:lineRule="auto"/>
        <w:ind w:left="357" w:firstLine="493"/>
        <w:jc w:val="both"/>
      </w:pPr>
    </w:p>
    <w:p w14:paraId="71280156" w14:textId="77777777" w:rsidR="00AA2A2F" w:rsidRPr="001D5A73" w:rsidRDefault="00AA2A2F" w:rsidP="00EE5DEC">
      <w:pPr>
        <w:pStyle w:val="PargrafodaLista"/>
        <w:numPr>
          <w:ilvl w:val="0"/>
          <w:numId w:val="3"/>
        </w:numPr>
        <w:spacing w:after="0"/>
        <w:jc w:val="both"/>
      </w:pPr>
      <w:r w:rsidRPr="001D5A73">
        <w:rPr>
          <w:b/>
        </w:rPr>
        <w:t>Principais Práticas Contábeis</w:t>
      </w:r>
    </w:p>
    <w:p w14:paraId="1015D539" w14:textId="77777777" w:rsidR="002A58FE" w:rsidRPr="001D5A73" w:rsidRDefault="002A58FE" w:rsidP="002A58FE">
      <w:pPr>
        <w:pStyle w:val="PargrafodaLista"/>
        <w:spacing w:after="0"/>
        <w:ind w:left="360"/>
        <w:jc w:val="both"/>
      </w:pPr>
    </w:p>
    <w:p w14:paraId="26C8416C" w14:textId="77777777" w:rsidR="00AA2A2F" w:rsidRPr="001D5A73" w:rsidRDefault="00AA2A2F" w:rsidP="00EE5DEC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1D5A73">
        <w:rPr>
          <w:b/>
        </w:rPr>
        <w:t>Apuração do Resultado</w:t>
      </w:r>
      <w:r w:rsidRPr="001D5A73">
        <w:t xml:space="preserve"> – O resultado das operações foi apurado de acordo com o regime contábil de competência de exercícios;</w:t>
      </w:r>
    </w:p>
    <w:p w14:paraId="6B828567" w14:textId="77777777" w:rsidR="00AA2A2F" w:rsidRPr="001D5A73" w:rsidRDefault="00AA2A2F" w:rsidP="00EE5DE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1D5A73">
        <w:rPr>
          <w:rFonts w:cs="Arial"/>
          <w:b/>
        </w:rPr>
        <w:t>Aplicações Financeiras</w:t>
      </w:r>
      <w:r w:rsidRPr="001D5A73">
        <w:rPr>
          <w:rFonts w:cs="Arial"/>
        </w:rPr>
        <w:t xml:space="preserve"> </w:t>
      </w:r>
    </w:p>
    <w:p w14:paraId="0944B0F7" w14:textId="77777777" w:rsidR="00AA2A2F" w:rsidRPr="001D5A73" w:rsidRDefault="00AA2A2F" w:rsidP="00EE5DEC">
      <w:pPr>
        <w:pStyle w:val="PargrafodaLista"/>
        <w:spacing w:after="0" w:line="240" w:lineRule="auto"/>
        <w:jc w:val="both"/>
        <w:rPr>
          <w:rFonts w:cs="Arial"/>
        </w:rPr>
      </w:pPr>
      <w:r w:rsidRPr="001D5A73">
        <w:rPr>
          <w:rFonts w:cs="Arial"/>
        </w:rPr>
        <w:t>Estão avaliadas aos valores aplicados e atualizados para a data do balanço. Os rendimentos são contabilizados no resultado do período;</w:t>
      </w:r>
    </w:p>
    <w:p w14:paraId="2B45A09D" w14:textId="77777777" w:rsidR="00AA2A2F" w:rsidRPr="001D5A73" w:rsidRDefault="00AA2A2F" w:rsidP="00EE5DEC">
      <w:pPr>
        <w:pStyle w:val="ListaColorida-nfase1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1D5A73">
        <w:rPr>
          <w:rFonts w:asciiTheme="minorHAnsi" w:hAnsiTheme="minorHAnsi" w:cs="Arial"/>
          <w:b/>
        </w:rPr>
        <w:t>Contas a Receber Clientes, Convênios e Subvenções</w:t>
      </w:r>
    </w:p>
    <w:p w14:paraId="292F794F" w14:textId="77777777" w:rsidR="00AA2A2F" w:rsidRPr="001D5A73" w:rsidRDefault="00AA2A2F" w:rsidP="00EE5DEC">
      <w:pPr>
        <w:pStyle w:val="ListaColorida-nfase11"/>
        <w:spacing w:after="0" w:line="240" w:lineRule="auto"/>
        <w:jc w:val="both"/>
        <w:rPr>
          <w:rFonts w:asciiTheme="minorHAnsi" w:hAnsiTheme="minorHAnsi" w:cs="Arial"/>
        </w:rPr>
      </w:pPr>
      <w:r w:rsidRPr="001D5A73">
        <w:rPr>
          <w:rFonts w:asciiTheme="minorHAnsi" w:hAnsiTheme="minorHAnsi" w:cs="Arial"/>
        </w:rPr>
        <w:t>São valores registrados pelo valor nominal com base no regime de competência;</w:t>
      </w:r>
    </w:p>
    <w:p w14:paraId="1D4D901C" w14:textId="77777777" w:rsidR="00AA2A2F" w:rsidRPr="001D5A73" w:rsidRDefault="00AA2A2F" w:rsidP="00EE5DEC">
      <w:pPr>
        <w:pStyle w:val="ListaColorida-nfase1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1D5A73">
        <w:rPr>
          <w:rFonts w:asciiTheme="minorHAnsi" w:hAnsiTheme="minorHAnsi" w:cs="Arial"/>
          <w:b/>
        </w:rPr>
        <w:t>Estoques</w:t>
      </w:r>
    </w:p>
    <w:p w14:paraId="439E55CB" w14:textId="77777777" w:rsidR="00AA2A2F" w:rsidRPr="001D5A73" w:rsidRDefault="00AA2A2F" w:rsidP="00EE5DEC">
      <w:pPr>
        <w:pStyle w:val="ListaColorida-nfase11"/>
        <w:spacing w:after="0" w:line="240" w:lineRule="auto"/>
        <w:jc w:val="both"/>
        <w:rPr>
          <w:rFonts w:asciiTheme="minorHAnsi" w:hAnsiTheme="minorHAnsi" w:cs="Arial"/>
        </w:rPr>
      </w:pPr>
      <w:r w:rsidRPr="001D5A73">
        <w:rPr>
          <w:rFonts w:asciiTheme="minorHAnsi" w:hAnsiTheme="minorHAnsi" w:cs="Arial"/>
        </w:rPr>
        <w:t>Formado por material de consumo, registrados ao custo médio de aquisição e não excedem os seus custos de reposição ou valores de realização, deduzidos de provisões para perdas, quando necessários;</w:t>
      </w:r>
    </w:p>
    <w:p w14:paraId="2C4E1B7F" w14:textId="77777777" w:rsidR="00AA2A2F" w:rsidRPr="001D5A73" w:rsidRDefault="00AA2A2F" w:rsidP="00EE5DEC">
      <w:pPr>
        <w:pStyle w:val="ListaColorida-nfase1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1D5A73">
        <w:rPr>
          <w:rFonts w:asciiTheme="minorHAnsi" w:hAnsiTheme="minorHAnsi" w:cs="Arial"/>
          <w:b/>
        </w:rPr>
        <w:t xml:space="preserve">Imobilizado e Intangível </w:t>
      </w:r>
    </w:p>
    <w:p w14:paraId="4B81AD4E" w14:textId="77777777" w:rsidR="00AA2A2F" w:rsidRPr="001D5A73" w:rsidRDefault="00AA2A2F" w:rsidP="00EE5DEC">
      <w:pPr>
        <w:pStyle w:val="ListaColorida-nfase11"/>
        <w:spacing w:after="0" w:line="240" w:lineRule="auto"/>
        <w:ind w:left="708"/>
        <w:jc w:val="both"/>
        <w:rPr>
          <w:rFonts w:asciiTheme="minorHAnsi" w:hAnsiTheme="minorHAnsi" w:cs="Arial"/>
        </w:rPr>
      </w:pPr>
      <w:r w:rsidRPr="001D5A73">
        <w:rPr>
          <w:rFonts w:asciiTheme="minorHAnsi" w:hAnsiTheme="minorHAnsi" w:cs="Arial"/>
        </w:rPr>
        <w:t>É demonstrado ao custo de aquisição ou construção, sendo suas depreciações e amortizações calculadas pelo método linear de acordo com a vida útil-econômica estimada dos bens e, quando necessário, reduzidos a valores recuperáveis;</w:t>
      </w:r>
    </w:p>
    <w:p w14:paraId="48E25ED4" w14:textId="77777777" w:rsidR="00AA2A2F" w:rsidRPr="001D5A73" w:rsidRDefault="00AA2A2F" w:rsidP="00EE5DEC">
      <w:pPr>
        <w:pStyle w:val="ListaColorida-nfase1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 w:cs="Arial"/>
        </w:rPr>
      </w:pPr>
      <w:r w:rsidRPr="001D5A73">
        <w:rPr>
          <w:rFonts w:asciiTheme="minorHAnsi" w:hAnsiTheme="minorHAnsi"/>
          <w:b/>
        </w:rPr>
        <w:t>Ativo Circulante e Não circulante</w:t>
      </w:r>
      <w:r w:rsidRPr="001D5A73">
        <w:rPr>
          <w:rFonts w:asciiTheme="minorHAnsi" w:hAnsiTheme="minorHAnsi"/>
        </w:rPr>
        <w:t xml:space="preserve"> – São apresentados pelo valor de realização, incluindo, quando aplicável, os rendimentos e variações monetárias auferidos, ou, no caso de despesas do exercício seguinte, ao custo. </w:t>
      </w:r>
    </w:p>
    <w:p w14:paraId="2F5CCE86" w14:textId="77777777" w:rsidR="00AA2A2F" w:rsidRPr="001D5A73" w:rsidRDefault="00AA2A2F" w:rsidP="00EE5DEC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1D5A73">
        <w:rPr>
          <w:b/>
        </w:rPr>
        <w:t xml:space="preserve">Passivo Circulante e Não Circulante – </w:t>
      </w:r>
      <w:r w:rsidRPr="001D5A73">
        <w:t xml:space="preserve">São apresentados por valores conhecidos ou calculáveis, acrescidos, quando aplicável, dos correspondentes encargos e variações monetárias incorridos em base “pro-rata”. </w:t>
      </w:r>
    </w:p>
    <w:p w14:paraId="7B7261D4" w14:textId="349259A7" w:rsidR="00E95E39" w:rsidRPr="001D5A73" w:rsidRDefault="00E95E39" w:rsidP="00EE5DEC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1D5A73">
        <w:rPr>
          <w:rFonts w:ascii="Calibri" w:hAnsi="Calibri"/>
          <w:b/>
          <w:color w:val="222222"/>
          <w:shd w:val="clear" w:color="auto" w:fill="FFFFFF"/>
        </w:rPr>
        <w:lastRenderedPageBreak/>
        <w:t>Passivos Contingentes:</w:t>
      </w:r>
      <w:r w:rsidRPr="001D5A73">
        <w:rPr>
          <w:rFonts w:ascii="Calibri" w:hAnsi="Calibri"/>
          <w:color w:val="222222"/>
          <w:shd w:val="clear" w:color="auto" w:fill="FFFFFF"/>
        </w:rPr>
        <w:t xml:space="preserve"> </w:t>
      </w:r>
      <w:r w:rsidRPr="001D5A73">
        <w:t>Uma obrigação possível que resulta de eventos passados e cuja existência será confirmada apenas pela ocorrência ou não de um ou mais eventos futuros incertos não totalmente sob controle da Companhia. Quando os passivos contingentes forem prováveis, a Companhia registra o passivo em suas demonstrações contábeis; para os passivos contingentes considerados possíveis, são apenas divulgados em notas explicativas, e para os passivos contingentes julgados remotos não são registrados e nem divulgados.</w:t>
      </w:r>
    </w:p>
    <w:p w14:paraId="4F77C4D8" w14:textId="77777777" w:rsidR="00ED6F62" w:rsidRPr="00A168D4" w:rsidRDefault="00ED6F62" w:rsidP="00ED6F62">
      <w:pPr>
        <w:spacing w:after="0" w:line="240" w:lineRule="auto"/>
        <w:jc w:val="both"/>
        <w:rPr>
          <w:highlight w:val="yellow"/>
        </w:rPr>
      </w:pPr>
    </w:p>
    <w:p w14:paraId="31D5A091" w14:textId="77777777" w:rsidR="00DB0586" w:rsidRPr="003744A1" w:rsidRDefault="00DB0586" w:rsidP="00ED6F62">
      <w:pPr>
        <w:spacing w:after="0" w:line="240" w:lineRule="auto"/>
        <w:jc w:val="both"/>
      </w:pPr>
    </w:p>
    <w:p w14:paraId="3AE127B8" w14:textId="77777777" w:rsidR="00AA2A2F" w:rsidRPr="003744A1" w:rsidRDefault="00AA2A2F" w:rsidP="00EE5DEC">
      <w:pPr>
        <w:pStyle w:val="PargrafodaLista"/>
        <w:numPr>
          <w:ilvl w:val="0"/>
          <w:numId w:val="2"/>
        </w:numPr>
        <w:spacing w:after="0"/>
        <w:jc w:val="both"/>
        <w:rPr>
          <w:rFonts w:cs="Arial"/>
        </w:rPr>
      </w:pPr>
      <w:r w:rsidRPr="003744A1">
        <w:rPr>
          <w:b/>
        </w:rPr>
        <w:t>Caixa e Equivalentes Caixa</w:t>
      </w:r>
      <w:r w:rsidRPr="003744A1">
        <w:t xml:space="preserve"> </w:t>
      </w:r>
    </w:p>
    <w:p w14:paraId="30A19DFC" w14:textId="77777777" w:rsidR="002A58FE" w:rsidRPr="003744A1" w:rsidRDefault="002A58FE" w:rsidP="002A58FE">
      <w:pPr>
        <w:pStyle w:val="PargrafodaLista"/>
        <w:spacing w:after="0"/>
        <w:ind w:left="360"/>
        <w:jc w:val="both"/>
        <w:rPr>
          <w:rFonts w:cs="Arial"/>
        </w:rPr>
      </w:pPr>
    </w:p>
    <w:p w14:paraId="6ABD9608" w14:textId="43754D2A" w:rsidR="00AA2A2F" w:rsidRPr="003744A1" w:rsidRDefault="00AA2A2F" w:rsidP="00EE5DEC">
      <w:pPr>
        <w:spacing w:after="0" w:line="240" w:lineRule="auto"/>
        <w:ind w:left="357" w:firstLine="493"/>
        <w:contextualSpacing/>
        <w:jc w:val="both"/>
        <w:rPr>
          <w:rFonts w:cs="Arial"/>
        </w:rPr>
      </w:pPr>
      <w:r w:rsidRPr="003744A1">
        <w:rPr>
          <w:rFonts w:cs="Arial"/>
        </w:rPr>
        <w:t>Representado pelos saldos existentes em caixa, contas correntes bancárias de movimento e aplicações financeiras cujo vencimento das operações na data efetiva de sua aplicação seja igual ou inferior a 90 dias, e que são utilizados pela companhia para gerenciamento de seus compromissos de curto prazo. Os valores estão representados por:</w:t>
      </w:r>
    </w:p>
    <w:p w14:paraId="6D07697A" w14:textId="77777777" w:rsidR="002B10C4" w:rsidRPr="003744A1" w:rsidRDefault="002B10C4" w:rsidP="00FD2B64">
      <w:pPr>
        <w:spacing w:after="0" w:line="240" w:lineRule="auto"/>
        <w:contextualSpacing/>
        <w:rPr>
          <w:rFonts w:cs="Arial"/>
        </w:rPr>
      </w:pPr>
    </w:p>
    <w:p w14:paraId="5B326663" w14:textId="479AA39C" w:rsidR="00B77B38" w:rsidRPr="003744A1" w:rsidRDefault="009A2B4D" w:rsidP="001435DD">
      <w:pPr>
        <w:spacing w:after="0" w:line="240" w:lineRule="auto"/>
        <w:ind w:left="284"/>
        <w:contextualSpacing/>
        <w:rPr>
          <w:noProof/>
          <w:lang w:eastAsia="pt-BR"/>
        </w:rPr>
      </w:pPr>
      <w:r w:rsidRPr="003744A1">
        <w:rPr>
          <w:noProof/>
        </w:rPr>
        <w:drawing>
          <wp:inline distT="0" distB="0" distL="0" distR="0" wp14:anchorId="6BBA3FDC" wp14:editId="54D42252">
            <wp:extent cx="4676775" cy="835138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864" cy="84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44BF" w14:textId="5B1B7FB7" w:rsidR="009A2B4D" w:rsidRPr="003744A1" w:rsidRDefault="009A2B4D" w:rsidP="001435DD">
      <w:pPr>
        <w:spacing w:after="0" w:line="240" w:lineRule="auto"/>
        <w:ind w:left="284"/>
        <w:contextualSpacing/>
        <w:rPr>
          <w:rFonts w:cs="Arial"/>
        </w:rPr>
      </w:pPr>
    </w:p>
    <w:p w14:paraId="2748E067" w14:textId="24EB5C07" w:rsidR="00DB0586" w:rsidRPr="003744A1" w:rsidRDefault="00CC0611" w:rsidP="00CC0611">
      <w:pPr>
        <w:spacing w:after="0" w:line="240" w:lineRule="auto"/>
        <w:ind w:left="357" w:firstLine="493"/>
        <w:contextualSpacing/>
        <w:jc w:val="both"/>
        <w:rPr>
          <w:rFonts w:cs="Arial"/>
        </w:rPr>
      </w:pPr>
      <w:r w:rsidRPr="003744A1">
        <w:rPr>
          <w:rFonts w:cs="Arial"/>
        </w:rPr>
        <w:t>Dentre os valores informados nas contas de APLI</w:t>
      </w:r>
      <w:r w:rsidR="00B77B38" w:rsidRPr="003744A1">
        <w:rPr>
          <w:rFonts w:cs="Arial"/>
        </w:rPr>
        <w:t>CAÇÕES FINANCEIRAS em 30/0</w:t>
      </w:r>
      <w:r w:rsidR="003744A1" w:rsidRPr="003744A1">
        <w:rPr>
          <w:rFonts w:cs="Arial"/>
        </w:rPr>
        <w:t>9</w:t>
      </w:r>
      <w:r w:rsidR="00B77B38" w:rsidRPr="003744A1">
        <w:rPr>
          <w:rFonts w:cs="Arial"/>
        </w:rPr>
        <w:t>/2022</w:t>
      </w:r>
      <w:r w:rsidRPr="003744A1">
        <w:rPr>
          <w:rFonts w:cs="Arial"/>
        </w:rPr>
        <w:t xml:space="preserve"> encontram-se R$ </w:t>
      </w:r>
      <w:r w:rsidR="003744A1" w:rsidRPr="003744A1">
        <w:rPr>
          <w:rFonts w:cs="Arial"/>
        </w:rPr>
        <w:t>357.985,89</w:t>
      </w:r>
      <w:r w:rsidRPr="003744A1">
        <w:rPr>
          <w:rFonts w:cs="Arial"/>
        </w:rPr>
        <w:t>relativos aos recursos de convênios celebrados com o Governo Federal/ Ministério da Ciência, Tecno</w:t>
      </w:r>
      <w:r w:rsidR="00B77B38" w:rsidRPr="003744A1">
        <w:rPr>
          <w:rFonts w:cs="Arial"/>
        </w:rPr>
        <w:t>logia, Inovação e Comunicações.</w:t>
      </w:r>
    </w:p>
    <w:p w14:paraId="078475A7" w14:textId="77777777" w:rsidR="00CC0611" w:rsidRPr="00A168D4" w:rsidRDefault="00CC0611" w:rsidP="00FD2B64">
      <w:pPr>
        <w:spacing w:after="0" w:line="240" w:lineRule="auto"/>
        <w:contextualSpacing/>
        <w:rPr>
          <w:rFonts w:cs="Arial"/>
          <w:highlight w:val="yellow"/>
        </w:rPr>
      </w:pPr>
    </w:p>
    <w:p w14:paraId="7FA248A1" w14:textId="77777777" w:rsidR="00CC0611" w:rsidRPr="00A168D4" w:rsidRDefault="00CC0611" w:rsidP="00FD2B64">
      <w:pPr>
        <w:spacing w:after="0" w:line="240" w:lineRule="auto"/>
        <w:contextualSpacing/>
        <w:rPr>
          <w:rFonts w:cs="Arial"/>
          <w:highlight w:val="yellow"/>
        </w:rPr>
      </w:pPr>
    </w:p>
    <w:p w14:paraId="51BA64CF" w14:textId="4FE3238D" w:rsidR="00AA2A2F" w:rsidRPr="00AE2D62" w:rsidRDefault="00D91E44" w:rsidP="00EE5DEC">
      <w:pPr>
        <w:pStyle w:val="PargrafodaLista"/>
        <w:numPr>
          <w:ilvl w:val="0"/>
          <w:numId w:val="2"/>
        </w:numPr>
        <w:spacing w:after="0"/>
        <w:jc w:val="both"/>
        <w:rPr>
          <w:rFonts w:cs="Arial"/>
        </w:rPr>
      </w:pPr>
      <w:r w:rsidRPr="00AE2D62">
        <w:rPr>
          <w:b/>
        </w:rPr>
        <w:t xml:space="preserve">Clientes </w:t>
      </w:r>
      <w:r w:rsidR="00AA2A2F" w:rsidRPr="00AE2D62">
        <w:rPr>
          <w:b/>
        </w:rPr>
        <w:t>e Subvenções</w:t>
      </w:r>
    </w:p>
    <w:p w14:paraId="4336A1D1" w14:textId="77777777" w:rsidR="002A58FE" w:rsidRPr="00AE2D62" w:rsidRDefault="002A58FE" w:rsidP="00D86B96">
      <w:pPr>
        <w:spacing w:after="0" w:line="240" w:lineRule="auto"/>
        <w:ind w:left="357" w:firstLine="493"/>
        <w:jc w:val="both"/>
        <w:rPr>
          <w:rFonts w:cs="Arial"/>
        </w:rPr>
      </w:pPr>
    </w:p>
    <w:p w14:paraId="0F439230" w14:textId="29C1AB7B" w:rsidR="00C95822" w:rsidRPr="00AE2D62" w:rsidRDefault="00AA2A2F" w:rsidP="00D86B96">
      <w:pPr>
        <w:spacing w:after="0" w:line="240" w:lineRule="auto"/>
        <w:ind w:left="357" w:firstLine="493"/>
        <w:jc w:val="both"/>
        <w:rPr>
          <w:rFonts w:cs="Arial"/>
        </w:rPr>
      </w:pPr>
      <w:r w:rsidRPr="00AE2D62">
        <w:rPr>
          <w:rFonts w:cs="Arial"/>
        </w:rPr>
        <w:t>Representado pelos serviços prestados em conformidade com o objetivo social da empresa com serviços de qualidade, como também a integração e gerenciamento das soluções de TIC e inclusão digital para a Prefeitura Municipal de Belo Horizonte, sendo parte destes custos dos serviços prestados, suportado diretamente por recursos oriundos do Tesouro Municipal, mediante subvenção econômica concedida pelo seu maior acionista.</w:t>
      </w:r>
    </w:p>
    <w:p w14:paraId="05DC62F5" w14:textId="0387D5E2" w:rsidR="00AE2D62" w:rsidRPr="00AE2D62" w:rsidRDefault="00AE2D62" w:rsidP="00D86B96">
      <w:pPr>
        <w:spacing w:after="0" w:line="240" w:lineRule="auto"/>
        <w:ind w:left="357" w:firstLine="493"/>
        <w:jc w:val="both"/>
        <w:rPr>
          <w:rFonts w:cs="Arial"/>
        </w:rPr>
      </w:pPr>
    </w:p>
    <w:p w14:paraId="44B472C8" w14:textId="77777777" w:rsidR="00AE2D62" w:rsidRPr="00A168D4" w:rsidRDefault="00AE2D62" w:rsidP="001435DD">
      <w:pPr>
        <w:spacing w:after="0" w:line="240" w:lineRule="auto"/>
        <w:ind w:left="284"/>
        <w:rPr>
          <w:noProof/>
          <w:highlight w:val="yellow"/>
          <w:lang w:eastAsia="pt-BR"/>
        </w:rPr>
      </w:pPr>
      <w:r w:rsidRPr="00AE2D62">
        <w:rPr>
          <w:noProof/>
        </w:rPr>
        <w:drawing>
          <wp:inline distT="0" distB="0" distL="0" distR="0" wp14:anchorId="351AFC32" wp14:editId="525E01CC">
            <wp:extent cx="4611370" cy="152518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587" cy="153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B60E" w14:textId="310862C3" w:rsidR="00430524" w:rsidRPr="00A168D4" w:rsidRDefault="00430524" w:rsidP="007F05E5">
      <w:pPr>
        <w:spacing w:after="0" w:line="240" w:lineRule="auto"/>
        <w:rPr>
          <w:noProof/>
          <w:highlight w:val="yellow"/>
          <w:lang w:eastAsia="pt-BR"/>
        </w:rPr>
      </w:pPr>
    </w:p>
    <w:p w14:paraId="7ABF9F23" w14:textId="6659B1AA" w:rsidR="003D29D1" w:rsidRPr="00A168D4" w:rsidRDefault="003D29D1" w:rsidP="007F05E5">
      <w:pPr>
        <w:spacing w:after="0" w:line="240" w:lineRule="auto"/>
        <w:rPr>
          <w:noProof/>
          <w:highlight w:val="yellow"/>
          <w:lang w:eastAsia="pt-BR"/>
        </w:rPr>
      </w:pPr>
    </w:p>
    <w:p w14:paraId="4B528D8F" w14:textId="2C78B5FE" w:rsidR="00430524" w:rsidRDefault="00430524" w:rsidP="007F05E5">
      <w:pPr>
        <w:spacing w:after="0" w:line="240" w:lineRule="auto"/>
        <w:rPr>
          <w:noProof/>
          <w:highlight w:val="yellow"/>
          <w:lang w:eastAsia="pt-BR"/>
        </w:rPr>
      </w:pPr>
    </w:p>
    <w:p w14:paraId="2DEAAB90" w14:textId="1EC4886F" w:rsidR="00904AEF" w:rsidRDefault="00904AEF" w:rsidP="007F05E5">
      <w:pPr>
        <w:spacing w:after="0" w:line="240" w:lineRule="auto"/>
        <w:rPr>
          <w:noProof/>
          <w:highlight w:val="yellow"/>
          <w:lang w:eastAsia="pt-BR"/>
        </w:rPr>
      </w:pPr>
    </w:p>
    <w:p w14:paraId="74B2CAFC" w14:textId="0A221C63" w:rsidR="00904AEF" w:rsidRDefault="00904AEF" w:rsidP="007F05E5">
      <w:pPr>
        <w:spacing w:after="0" w:line="240" w:lineRule="auto"/>
        <w:rPr>
          <w:noProof/>
          <w:highlight w:val="yellow"/>
          <w:lang w:eastAsia="pt-BR"/>
        </w:rPr>
      </w:pPr>
    </w:p>
    <w:p w14:paraId="59A7B8BC" w14:textId="1266FC09" w:rsidR="00904AEF" w:rsidRDefault="00904AEF" w:rsidP="007F05E5">
      <w:pPr>
        <w:spacing w:after="0" w:line="240" w:lineRule="auto"/>
        <w:rPr>
          <w:noProof/>
          <w:highlight w:val="yellow"/>
          <w:lang w:eastAsia="pt-BR"/>
        </w:rPr>
      </w:pPr>
    </w:p>
    <w:p w14:paraId="13DFA2CA" w14:textId="0574D7BC" w:rsidR="00904AEF" w:rsidRDefault="00904AEF" w:rsidP="007F05E5">
      <w:pPr>
        <w:spacing w:after="0" w:line="240" w:lineRule="auto"/>
        <w:rPr>
          <w:noProof/>
          <w:highlight w:val="yellow"/>
          <w:lang w:eastAsia="pt-BR"/>
        </w:rPr>
      </w:pPr>
    </w:p>
    <w:p w14:paraId="1FEE71F4" w14:textId="584FAB57" w:rsidR="00417784" w:rsidRPr="008446AC" w:rsidRDefault="00417784" w:rsidP="00417784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 w:rsidRPr="008446AC">
        <w:rPr>
          <w:b/>
        </w:rPr>
        <w:t>Despesas antecipadas</w:t>
      </w:r>
    </w:p>
    <w:p w14:paraId="693EE013" w14:textId="77777777" w:rsidR="00EB73AD" w:rsidRPr="008446AC" w:rsidRDefault="00EB73AD" w:rsidP="00417784">
      <w:pPr>
        <w:pStyle w:val="PargrafodaLista"/>
        <w:spacing w:after="0"/>
        <w:ind w:left="360"/>
        <w:jc w:val="both"/>
        <w:rPr>
          <w:b/>
        </w:rPr>
      </w:pPr>
    </w:p>
    <w:p w14:paraId="2C273AAE" w14:textId="00893C6B" w:rsidR="00EB73AD" w:rsidRPr="008446AC" w:rsidRDefault="00530116" w:rsidP="00417784">
      <w:pPr>
        <w:pStyle w:val="PargrafodaLista"/>
        <w:spacing w:after="0"/>
        <w:ind w:left="360"/>
        <w:jc w:val="both"/>
        <w:rPr>
          <w:b/>
        </w:rPr>
      </w:pPr>
      <w:r w:rsidRPr="008446AC">
        <w:rPr>
          <w:noProof/>
          <w:lang w:eastAsia="pt-BR"/>
        </w:rPr>
        <w:t>O grupo é composto por</w:t>
      </w:r>
      <w:r w:rsidR="00BC7CB4" w:rsidRPr="008446AC">
        <w:rPr>
          <w:noProof/>
          <w:lang w:eastAsia="pt-BR"/>
        </w:rPr>
        <w:t>:</w:t>
      </w:r>
    </w:p>
    <w:p w14:paraId="61243233" w14:textId="77777777" w:rsidR="002B10C4" w:rsidRPr="00A168D4" w:rsidRDefault="002B10C4" w:rsidP="00417784">
      <w:pPr>
        <w:pStyle w:val="PargrafodaLista"/>
        <w:spacing w:after="0"/>
        <w:ind w:left="360"/>
        <w:jc w:val="both"/>
        <w:rPr>
          <w:b/>
          <w:highlight w:val="yellow"/>
        </w:rPr>
      </w:pPr>
    </w:p>
    <w:p w14:paraId="578D2D40" w14:textId="644F142C" w:rsidR="008446AC" w:rsidRDefault="008446AC" w:rsidP="00417784">
      <w:pPr>
        <w:pStyle w:val="PargrafodaLista"/>
        <w:spacing w:after="0"/>
        <w:ind w:left="360"/>
        <w:jc w:val="both"/>
        <w:rPr>
          <w:b/>
          <w:highlight w:val="yellow"/>
        </w:rPr>
      </w:pPr>
      <w:r w:rsidRPr="008446AC">
        <w:rPr>
          <w:noProof/>
        </w:rPr>
        <w:drawing>
          <wp:inline distT="0" distB="0" distL="0" distR="0" wp14:anchorId="25B3139F" wp14:editId="34B547F6">
            <wp:extent cx="4486275" cy="135842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717" cy="136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480B9" w14:textId="404B2973" w:rsidR="008446AC" w:rsidRDefault="008446AC" w:rsidP="00417784">
      <w:pPr>
        <w:pStyle w:val="PargrafodaLista"/>
        <w:spacing w:after="0"/>
        <w:ind w:left="360"/>
        <w:jc w:val="both"/>
        <w:rPr>
          <w:b/>
          <w:highlight w:val="yellow"/>
        </w:rPr>
      </w:pPr>
    </w:p>
    <w:p w14:paraId="433AD938" w14:textId="77777777" w:rsidR="00417784" w:rsidRPr="007C54C3" w:rsidRDefault="00417784" w:rsidP="00417784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 w:rsidRPr="007C54C3">
        <w:rPr>
          <w:b/>
        </w:rPr>
        <w:t>Outros créditos</w:t>
      </w:r>
    </w:p>
    <w:p w14:paraId="1FB16727" w14:textId="77777777" w:rsidR="00EC3E0B" w:rsidRPr="007C54C3" w:rsidRDefault="00EC3E0B" w:rsidP="0033450E">
      <w:pPr>
        <w:pStyle w:val="PargrafodaLista"/>
        <w:spacing w:after="0"/>
        <w:ind w:left="360"/>
        <w:jc w:val="both"/>
        <w:rPr>
          <w:b/>
        </w:rPr>
      </w:pPr>
    </w:p>
    <w:p w14:paraId="4A04A132" w14:textId="09273809" w:rsidR="007D57BE" w:rsidRPr="007C54C3" w:rsidRDefault="007D57BE" w:rsidP="007D57BE">
      <w:pPr>
        <w:pStyle w:val="PargrafodaLista"/>
        <w:spacing w:after="0"/>
        <w:ind w:left="360"/>
        <w:jc w:val="both"/>
        <w:rPr>
          <w:noProof/>
          <w:lang w:eastAsia="pt-BR"/>
        </w:rPr>
      </w:pPr>
      <w:r w:rsidRPr="007C54C3">
        <w:rPr>
          <w:noProof/>
          <w:lang w:eastAsia="pt-BR"/>
        </w:rPr>
        <w:t>O grupo é composto por:</w:t>
      </w:r>
    </w:p>
    <w:p w14:paraId="409D668B" w14:textId="77777777" w:rsidR="007C54C3" w:rsidRPr="00A168D4" w:rsidRDefault="007C54C3" w:rsidP="007D57BE">
      <w:pPr>
        <w:pStyle w:val="PargrafodaLista"/>
        <w:spacing w:after="0"/>
        <w:ind w:left="360"/>
        <w:jc w:val="both"/>
        <w:rPr>
          <w:b/>
          <w:highlight w:val="yellow"/>
        </w:rPr>
      </w:pPr>
    </w:p>
    <w:p w14:paraId="17960787" w14:textId="74E32127" w:rsidR="007C54C3" w:rsidRDefault="007C54C3" w:rsidP="0033450E">
      <w:pPr>
        <w:pStyle w:val="PargrafodaLista"/>
        <w:spacing w:after="0"/>
        <w:ind w:left="360"/>
        <w:jc w:val="both"/>
        <w:rPr>
          <w:b/>
          <w:highlight w:val="yellow"/>
        </w:rPr>
      </w:pPr>
      <w:r w:rsidRPr="007C54C3">
        <w:rPr>
          <w:noProof/>
        </w:rPr>
        <w:drawing>
          <wp:inline distT="0" distB="0" distL="0" distR="0" wp14:anchorId="6694600D" wp14:editId="6724221D">
            <wp:extent cx="4356735" cy="892995"/>
            <wp:effectExtent l="0" t="0" r="5715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34" cy="8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2BE4C" w14:textId="77777777" w:rsidR="007C54C3" w:rsidRPr="00A168D4" w:rsidRDefault="007C54C3" w:rsidP="0033450E">
      <w:pPr>
        <w:pStyle w:val="PargrafodaLista"/>
        <w:spacing w:after="0"/>
        <w:ind w:left="360"/>
        <w:jc w:val="both"/>
        <w:rPr>
          <w:b/>
          <w:highlight w:val="yellow"/>
        </w:rPr>
      </w:pPr>
    </w:p>
    <w:p w14:paraId="774AF46A" w14:textId="1EA5410C" w:rsidR="005C0141" w:rsidRPr="007C54C3" w:rsidRDefault="005C0141" w:rsidP="004078C5">
      <w:pPr>
        <w:spacing w:after="0" w:line="240" w:lineRule="auto"/>
        <w:ind w:left="357" w:firstLine="493"/>
        <w:jc w:val="both"/>
        <w:rPr>
          <w:rFonts w:cs="Arial"/>
        </w:rPr>
      </w:pPr>
      <w:r w:rsidRPr="007C54C3">
        <w:rPr>
          <w:rFonts w:cs="Arial"/>
        </w:rPr>
        <w:t xml:space="preserve">A conta </w:t>
      </w:r>
      <w:r w:rsidR="007A1CD4" w:rsidRPr="007C54C3">
        <w:rPr>
          <w:rFonts w:cs="Arial"/>
        </w:rPr>
        <w:t>“</w:t>
      </w:r>
      <w:r w:rsidRPr="007C54C3">
        <w:rPr>
          <w:rFonts w:cs="Arial"/>
        </w:rPr>
        <w:t>Correntistas Devedores</w:t>
      </w:r>
      <w:r w:rsidR="007A1CD4" w:rsidRPr="007C54C3">
        <w:rPr>
          <w:rFonts w:cs="Arial"/>
        </w:rPr>
        <w:t>”</w:t>
      </w:r>
      <w:r w:rsidRPr="007C54C3">
        <w:rPr>
          <w:rFonts w:cs="Arial"/>
        </w:rPr>
        <w:t xml:space="preserve"> refere-se a valores de ex. funcionários, os quais estão sendo cobrados por via judicial.</w:t>
      </w:r>
    </w:p>
    <w:p w14:paraId="4869A5D6" w14:textId="77777777" w:rsidR="005C0141" w:rsidRPr="007C54C3" w:rsidRDefault="005C0141" w:rsidP="004078C5">
      <w:pPr>
        <w:spacing w:after="0" w:line="240" w:lineRule="auto"/>
        <w:ind w:left="357" w:firstLine="493"/>
        <w:jc w:val="both"/>
        <w:rPr>
          <w:rFonts w:cs="Arial"/>
        </w:rPr>
      </w:pPr>
    </w:p>
    <w:p w14:paraId="746E4F79" w14:textId="77777777" w:rsidR="007D57BE" w:rsidRPr="007C54C3" w:rsidRDefault="007D57BE" w:rsidP="007D57BE">
      <w:pPr>
        <w:spacing w:after="0" w:line="240" w:lineRule="auto"/>
        <w:ind w:left="357" w:firstLine="493"/>
        <w:jc w:val="both"/>
        <w:rPr>
          <w:rFonts w:cs="Arial"/>
        </w:rPr>
      </w:pPr>
      <w:r w:rsidRPr="007C54C3">
        <w:rPr>
          <w:rFonts w:cs="Arial"/>
        </w:rPr>
        <w:t>A conta “Adiantamento a empregados” refere-se aos valores relativos a adiantamento de férias aos empregados.</w:t>
      </w:r>
    </w:p>
    <w:p w14:paraId="1DF8FF7E" w14:textId="77777777" w:rsidR="007D57BE" w:rsidRPr="007C54C3" w:rsidRDefault="007D57BE" w:rsidP="004078C5">
      <w:pPr>
        <w:spacing w:after="0" w:line="240" w:lineRule="auto"/>
        <w:ind w:left="357" w:firstLine="493"/>
        <w:jc w:val="both"/>
        <w:rPr>
          <w:rFonts w:cs="Arial"/>
        </w:rPr>
      </w:pPr>
    </w:p>
    <w:p w14:paraId="0035760F" w14:textId="18F91079" w:rsidR="005C0141" w:rsidRPr="007C54C3" w:rsidRDefault="005C0141" w:rsidP="004078C5">
      <w:pPr>
        <w:spacing w:after="0" w:line="240" w:lineRule="auto"/>
        <w:ind w:left="357" w:firstLine="493"/>
        <w:jc w:val="both"/>
        <w:rPr>
          <w:rFonts w:cs="Arial"/>
        </w:rPr>
      </w:pPr>
      <w:r w:rsidRPr="007C54C3">
        <w:rPr>
          <w:rFonts w:cs="Arial"/>
        </w:rPr>
        <w:t xml:space="preserve">A conta </w:t>
      </w:r>
      <w:r w:rsidR="007A1CD4" w:rsidRPr="007C54C3">
        <w:rPr>
          <w:rFonts w:cs="Arial"/>
        </w:rPr>
        <w:t>“</w:t>
      </w:r>
      <w:r w:rsidRPr="007C54C3">
        <w:rPr>
          <w:rFonts w:cs="Arial"/>
        </w:rPr>
        <w:t>Valores a Receber por Conta de Terceiros</w:t>
      </w:r>
      <w:r w:rsidR="007A1CD4" w:rsidRPr="007C54C3">
        <w:rPr>
          <w:rFonts w:cs="Arial"/>
        </w:rPr>
        <w:t xml:space="preserve">” refere-se ao registro dos valores gerados na intermediação das vendas de crédito de estacionamento rotativo, mas que ainda não foram repassados pelo intermediador de pagamentos </w:t>
      </w:r>
      <w:proofErr w:type="spellStart"/>
      <w:r w:rsidR="007A1CD4" w:rsidRPr="007C54C3">
        <w:rPr>
          <w:rFonts w:cs="Arial"/>
        </w:rPr>
        <w:t>WireCard</w:t>
      </w:r>
      <w:proofErr w:type="spellEnd"/>
      <w:r w:rsidR="007A1CD4" w:rsidRPr="007C54C3">
        <w:rPr>
          <w:rFonts w:cs="Arial"/>
        </w:rPr>
        <w:t>.</w:t>
      </w:r>
    </w:p>
    <w:p w14:paraId="51B0A1A1" w14:textId="7D115575" w:rsidR="005C0141" w:rsidRDefault="005C0141" w:rsidP="004078C5">
      <w:pPr>
        <w:spacing w:after="0" w:line="240" w:lineRule="auto"/>
        <w:ind w:left="357" w:firstLine="493"/>
        <w:jc w:val="both"/>
        <w:rPr>
          <w:rFonts w:cs="Arial"/>
          <w:highlight w:val="yellow"/>
        </w:rPr>
      </w:pPr>
    </w:p>
    <w:p w14:paraId="1D085494" w14:textId="63A17AF8" w:rsidR="005A7F82" w:rsidRDefault="005A7F82" w:rsidP="004078C5">
      <w:pPr>
        <w:spacing w:after="0" w:line="240" w:lineRule="auto"/>
        <w:ind w:left="357" w:firstLine="493"/>
        <w:jc w:val="both"/>
        <w:rPr>
          <w:rFonts w:cs="Arial"/>
          <w:highlight w:val="yellow"/>
        </w:rPr>
      </w:pPr>
    </w:p>
    <w:p w14:paraId="354FB8EF" w14:textId="621E46FF" w:rsidR="008F395F" w:rsidRPr="005A7F82" w:rsidRDefault="008F395F" w:rsidP="008F395F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 w:rsidRPr="005A7F82">
        <w:rPr>
          <w:b/>
        </w:rPr>
        <w:t>Realizável a longo prazo</w:t>
      </w:r>
    </w:p>
    <w:p w14:paraId="54BBCFA0" w14:textId="77777777" w:rsidR="009D4A69" w:rsidRPr="005A7F82" w:rsidRDefault="009D4A69" w:rsidP="009D4A69">
      <w:pPr>
        <w:pStyle w:val="PargrafodaLista"/>
        <w:spacing w:after="0"/>
        <w:ind w:left="360"/>
        <w:jc w:val="both"/>
        <w:rPr>
          <w:b/>
        </w:rPr>
      </w:pPr>
    </w:p>
    <w:p w14:paraId="460B72E7" w14:textId="7C0D1A40" w:rsidR="005751A4" w:rsidRPr="005A7F82" w:rsidRDefault="005751A4" w:rsidP="005751A4">
      <w:pPr>
        <w:pStyle w:val="PargrafodaLista"/>
        <w:spacing w:after="0"/>
        <w:ind w:left="360"/>
        <w:jc w:val="both"/>
        <w:rPr>
          <w:noProof/>
          <w:lang w:eastAsia="pt-BR"/>
        </w:rPr>
      </w:pPr>
      <w:r w:rsidRPr="005A7F82">
        <w:rPr>
          <w:noProof/>
          <w:lang w:eastAsia="pt-BR"/>
        </w:rPr>
        <w:t>O grupo é composto por:</w:t>
      </w:r>
    </w:p>
    <w:p w14:paraId="00893E58" w14:textId="77777777" w:rsidR="009C7F3E" w:rsidRPr="005A7F82" w:rsidRDefault="009C7F3E" w:rsidP="005751A4">
      <w:pPr>
        <w:spacing w:after="0" w:line="240" w:lineRule="auto"/>
        <w:ind w:left="357" w:firstLine="493"/>
        <w:jc w:val="both"/>
        <w:rPr>
          <w:rFonts w:cs="Arial"/>
        </w:rPr>
      </w:pPr>
    </w:p>
    <w:p w14:paraId="2C296480" w14:textId="2A921F0A" w:rsidR="009C7F3E" w:rsidRPr="005A7F82" w:rsidRDefault="005A7F82" w:rsidP="005A7F82">
      <w:pPr>
        <w:spacing w:after="0" w:line="240" w:lineRule="auto"/>
        <w:ind w:left="357" w:hanging="73"/>
        <w:jc w:val="both"/>
        <w:rPr>
          <w:rFonts w:cs="Arial"/>
        </w:rPr>
      </w:pPr>
      <w:r w:rsidRPr="005A7F82">
        <w:rPr>
          <w:noProof/>
        </w:rPr>
        <w:drawing>
          <wp:inline distT="0" distB="0" distL="0" distR="0" wp14:anchorId="2C6C925A" wp14:editId="5C1A5BC7">
            <wp:extent cx="4314825" cy="603003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748" cy="6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A09B2" w14:textId="77777777" w:rsidR="00004AA7" w:rsidRPr="005A7F82" w:rsidRDefault="00004AA7" w:rsidP="005751A4">
      <w:pPr>
        <w:spacing w:after="0" w:line="240" w:lineRule="auto"/>
        <w:ind w:left="357" w:firstLine="493"/>
        <w:jc w:val="both"/>
        <w:rPr>
          <w:rFonts w:cs="Arial"/>
        </w:rPr>
      </w:pPr>
    </w:p>
    <w:p w14:paraId="6DB1D481" w14:textId="4EA4D6B8" w:rsidR="00782095" w:rsidRPr="005A7F82" w:rsidRDefault="009C7F3E" w:rsidP="00004AA7">
      <w:pPr>
        <w:spacing w:after="0" w:line="240" w:lineRule="auto"/>
        <w:ind w:left="357" w:firstLine="493"/>
        <w:jc w:val="both"/>
        <w:rPr>
          <w:rFonts w:ascii="Calibri" w:hAnsi="Calibri" w:cs="Calibri"/>
          <w:color w:val="000000"/>
          <w:sz w:val="24"/>
          <w:szCs w:val="24"/>
        </w:rPr>
      </w:pPr>
      <w:r w:rsidRPr="005A7F82">
        <w:rPr>
          <w:rFonts w:cs="Arial"/>
        </w:rPr>
        <w:t>No caso dos Depósitos judiciais a diferença entre 0</w:t>
      </w:r>
      <w:r w:rsidR="005A7F82" w:rsidRPr="005A7F82">
        <w:rPr>
          <w:rFonts w:cs="Arial"/>
        </w:rPr>
        <w:t>9</w:t>
      </w:r>
      <w:r w:rsidRPr="005A7F82">
        <w:rPr>
          <w:rFonts w:cs="Arial"/>
        </w:rPr>
        <w:t>/202</w:t>
      </w:r>
      <w:r w:rsidR="001E62B4" w:rsidRPr="005A7F82">
        <w:rPr>
          <w:rFonts w:cs="Arial"/>
        </w:rPr>
        <w:t>2</w:t>
      </w:r>
      <w:r w:rsidRPr="005A7F82">
        <w:rPr>
          <w:rFonts w:cs="Arial"/>
        </w:rPr>
        <w:t xml:space="preserve"> e 0</w:t>
      </w:r>
      <w:r w:rsidR="005A7F82" w:rsidRPr="005A7F82">
        <w:rPr>
          <w:rFonts w:cs="Arial"/>
        </w:rPr>
        <w:t>9</w:t>
      </w:r>
      <w:r w:rsidRPr="005A7F82">
        <w:rPr>
          <w:rFonts w:cs="Arial"/>
        </w:rPr>
        <w:t>/202</w:t>
      </w:r>
      <w:r w:rsidR="001E62B4" w:rsidRPr="005A7F82">
        <w:rPr>
          <w:rFonts w:cs="Arial"/>
        </w:rPr>
        <w:t>1</w:t>
      </w:r>
      <w:r w:rsidR="00004AA7" w:rsidRPr="005A7F82">
        <w:rPr>
          <w:rFonts w:cs="Arial"/>
        </w:rPr>
        <w:t xml:space="preserve"> deve-se principalmente a realização de depósito em conta vinculada judicial relativo ao processo movido pela Prodabel contra a Receita Federal do Brasil.</w:t>
      </w:r>
    </w:p>
    <w:p w14:paraId="5A32468F" w14:textId="77777777" w:rsidR="00782095" w:rsidRPr="005A7F82" w:rsidRDefault="00782095" w:rsidP="009C7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448870A" w14:textId="07467D9B" w:rsidR="005751A4" w:rsidRPr="005A7F82" w:rsidRDefault="005751A4" w:rsidP="005751A4">
      <w:pPr>
        <w:spacing w:after="0" w:line="240" w:lineRule="auto"/>
        <w:ind w:left="357" w:firstLine="493"/>
        <w:jc w:val="both"/>
        <w:rPr>
          <w:rFonts w:cs="Arial"/>
        </w:rPr>
      </w:pPr>
      <w:r w:rsidRPr="005A7F82">
        <w:rPr>
          <w:rFonts w:cs="Arial"/>
        </w:rPr>
        <w:t xml:space="preserve">A conta “Prefeitura Municipal de Contagem” refere-se aos valores devido à Prodabel pela Prefeitura Municipal de Contagem, os </w:t>
      </w:r>
      <w:r w:rsidR="00782095" w:rsidRPr="005A7F82">
        <w:rPr>
          <w:rFonts w:cs="Arial"/>
        </w:rPr>
        <w:t>foram recebidos em janeiro/2022</w:t>
      </w:r>
      <w:r w:rsidRPr="005A7F82">
        <w:rPr>
          <w:rFonts w:cs="Arial"/>
        </w:rPr>
        <w:t>.</w:t>
      </w:r>
    </w:p>
    <w:p w14:paraId="7C2A7D68" w14:textId="77777777" w:rsidR="00043D17" w:rsidRPr="00A168D4" w:rsidRDefault="00043D17" w:rsidP="00620761">
      <w:pPr>
        <w:spacing w:after="0"/>
        <w:jc w:val="both"/>
        <w:rPr>
          <w:noProof/>
          <w:highlight w:val="yellow"/>
          <w:lang w:eastAsia="pt-BR"/>
        </w:rPr>
      </w:pPr>
    </w:p>
    <w:p w14:paraId="150466CB" w14:textId="77777777" w:rsidR="00043D17" w:rsidRPr="00A168D4" w:rsidRDefault="00043D17" w:rsidP="00620761">
      <w:pPr>
        <w:spacing w:after="0"/>
        <w:jc w:val="both"/>
        <w:rPr>
          <w:noProof/>
          <w:highlight w:val="yellow"/>
          <w:lang w:eastAsia="pt-BR"/>
        </w:rPr>
      </w:pPr>
    </w:p>
    <w:p w14:paraId="219AA7A0" w14:textId="77777777" w:rsidR="0048297A" w:rsidRPr="001D5A73" w:rsidRDefault="0048297A" w:rsidP="0048297A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 w:rsidRPr="001D5A73">
        <w:rPr>
          <w:b/>
        </w:rPr>
        <w:t>Investimentos</w:t>
      </w:r>
    </w:p>
    <w:p w14:paraId="57152F04" w14:textId="77777777" w:rsidR="002A58FE" w:rsidRPr="001D5A73" w:rsidRDefault="002A58FE" w:rsidP="0048297A">
      <w:pPr>
        <w:spacing w:after="0" w:line="240" w:lineRule="auto"/>
        <w:ind w:left="357" w:firstLine="493"/>
        <w:jc w:val="both"/>
      </w:pPr>
    </w:p>
    <w:p w14:paraId="451D74D9" w14:textId="77777777" w:rsidR="0048297A" w:rsidRPr="001D5A73" w:rsidRDefault="0048297A" w:rsidP="0048297A">
      <w:pPr>
        <w:spacing w:after="0" w:line="240" w:lineRule="auto"/>
        <w:ind w:left="357" w:firstLine="493"/>
        <w:jc w:val="both"/>
      </w:pPr>
      <w:r w:rsidRPr="001D5A73">
        <w:t>Grupo composto por valores referentes a ações de outras companhias, sendo que do montante total do grupo 94,38% referem-se a empresas da Prefeitura Municipal de Belo Horizonte (BHTRANS, BELOTUR e PBH ATIVOS), o restante referem-se a incentivos fiscais e ações de empresas de telecomunicação, sendo que para estes últimos houve o reconhecimento de provisão para perdas.</w:t>
      </w:r>
    </w:p>
    <w:p w14:paraId="50FF5142" w14:textId="77777777" w:rsidR="007D1A45" w:rsidRPr="005A7F82" w:rsidRDefault="007D1A45" w:rsidP="0048297A">
      <w:pPr>
        <w:spacing w:after="0" w:line="240" w:lineRule="auto"/>
        <w:ind w:left="357" w:firstLine="493"/>
        <w:jc w:val="both"/>
      </w:pPr>
    </w:p>
    <w:p w14:paraId="23B61018" w14:textId="77777777" w:rsidR="008F395F" w:rsidRPr="005A7F82" w:rsidRDefault="008F395F" w:rsidP="008F395F">
      <w:pPr>
        <w:pStyle w:val="PargrafodaLista"/>
        <w:numPr>
          <w:ilvl w:val="0"/>
          <w:numId w:val="2"/>
        </w:numPr>
        <w:spacing w:after="0"/>
        <w:jc w:val="both"/>
      </w:pPr>
      <w:r w:rsidRPr="005A7F82">
        <w:rPr>
          <w:b/>
        </w:rPr>
        <w:t>Imobilizado e Intangível</w:t>
      </w:r>
      <w:r w:rsidRPr="005A7F82">
        <w:t xml:space="preserve"> </w:t>
      </w:r>
    </w:p>
    <w:p w14:paraId="62B9A204" w14:textId="77777777" w:rsidR="002A58FE" w:rsidRPr="005A7F82" w:rsidRDefault="002A58FE" w:rsidP="008F395F">
      <w:pPr>
        <w:spacing w:after="0" w:line="240" w:lineRule="auto"/>
        <w:ind w:left="357" w:firstLine="493"/>
        <w:jc w:val="both"/>
      </w:pPr>
    </w:p>
    <w:p w14:paraId="1A942FFA" w14:textId="24CE40F0" w:rsidR="008F395F" w:rsidRPr="005A7F82" w:rsidRDefault="008F395F" w:rsidP="008F395F">
      <w:pPr>
        <w:spacing w:after="0" w:line="240" w:lineRule="auto"/>
        <w:ind w:left="357" w:firstLine="493"/>
        <w:jc w:val="both"/>
      </w:pPr>
      <w:r w:rsidRPr="005A7F82">
        <w:t>O imobilizado está demonstrado ao custo de aquisição. As depreciações sobre o imobilizado foram calculadas pelo método linear, de acordo com as taxas de depreciação e vida econômica dos bens, em conformidade com o estabelecido na IN SRF nº 162, de 1998. O intangível corresponde aos direitos adquiridos que tenham por objeto bens incorpóreos destinados à manutenção da entidade ou exercidos com essa finalidade. Os ativos intangíveis com vida útil definida são geralmente amortizados de forma linear, no decorrer de um período estimado de benefício econômico.</w:t>
      </w:r>
    </w:p>
    <w:p w14:paraId="179E06D7" w14:textId="24791CCE" w:rsidR="005A7F82" w:rsidRPr="005A7F82" w:rsidRDefault="005A7F82" w:rsidP="008F395F">
      <w:pPr>
        <w:spacing w:after="0" w:line="240" w:lineRule="auto"/>
        <w:ind w:left="357" w:firstLine="493"/>
        <w:jc w:val="both"/>
      </w:pPr>
    </w:p>
    <w:p w14:paraId="4FA0FD15" w14:textId="404FA2EA" w:rsidR="005A7F82" w:rsidRDefault="005A7F82" w:rsidP="005A7F82">
      <w:pPr>
        <w:spacing w:after="0" w:line="240" w:lineRule="auto"/>
        <w:ind w:left="284"/>
        <w:jc w:val="both"/>
        <w:rPr>
          <w:highlight w:val="yellow"/>
        </w:rPr>
      </w:pPr>
      <w:r w:rsidRPr="005A7F82">
        <w:rPr>
          <w:noProof/>
        </w:rPr>
        <w:drawing>
          <wp:inline distT="0" distB="0" distL="0" distR="0" wp14:anchorId="3F5D349D" wp14:editId="1150AAFB">
            <wp:extent cx="6479540" cy="2250168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25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EBC4" w14:textId="3E78B21E" w:rsidR="005A7F82" w:rsidRDefault="005A7F82" w:rsidP="00EC3E0B">
      <w:pPr>
        <w:spacing w:after="0" w:line="240" w:lineRule="auto"/>
        <w:ind w:left="-284"/>
        <w:jc w:val="both"/>
        <w:rPr>
          <w:highlight w:val="yellow"/>
        </w:rPr>
      </w:pPr>
    </w:p>
    <w:p w14:paraId="375602BD" w14:textId="79B3DE54" w:rsidR="005A7F82" w:rsidRDefault="005A7F82" w:rsidP="00EC3E0B">
      <w:pPr>
        <w:spacing w:after="0" w:line="240" w:lineRule="auto"/>
        <w:ind w:left="-284"/>
        <w:jc w:val="both"/>
        <w:rPr>
          <w:highlight w:val="yellow"/>
        </w:rPr>
      </w:pPr>
    </w:p>
    <w:p w14:paraId="3786B18F" w14:textId="77777777" w:rsidR="00AA2A2F" w:rsidRPr="00B66177" w:rsidRDefault="00AA2A2F" w:rsidP="00EE5DEC">
      <w:pPr>
        <w:pStyle w:val="PargrafodaLista"/>
        <w:numPr>
          <w:ilvl w:val="0"/>
          <w:numId w:val="2"/>
        </w:numPr>
        <w:spacing w:after="0"/>
        <w:jc w:val="both"/>
      </w:pPr>
      <w:r w:rsidRPr="00B66177">
        <w:rPr>
          <w:b/>
        </w:rPr>
        <w:t>Obrigações Sociais e Trabalhistas</w:t>
      </w:r>
    </w:p>
    <w:p w14:paraId="46737D00" w14:textId="77777777" w:rsidR="009D4A69" w:rsidRPr="00B66177" w:rsidRDefault="009D4A69" w:rsidP="009D4A69">
      <w:pPr>
        <w:pStyle w:val="PargrafodaLista"/>
        <w:spacing w:after="0"/>
        <w:ind w:left="360"/>
        <w:jc w:val="both"/>
      </w:pPr>
    </w:p>
    <w:p w14:paraId="43B85283" w14:textId="77777777" w:rsidR="009F40B9" w:rsidRPr="00B66177" w:rsidRDefault="009F40B9" w:rsidP="009F40B9">
      <w:pPr>
        <w:pStyle w:val="PargrafodaLista"/>
        <w:spacing w:after="0"/>
        <w:ind w:left="360"/>
        <w:jc w:val="both"/>
        <w:rPr>
          <w:b/>
        </w:rPr>
      </w:pPr>
      <w:r w:rsidRPr="00B66177">
        <w:rPr>
          <w:noProof/>
          <w:lang w:eastAsia="pt-BR"/>
        </w:rPr>
        <w:t>O grupo é composto por:</w:t>
      </w:r>
    </w:p>
    <w:p w14:paraId="767704BD" w14:textId="77777777" w:rsidR="009F40B9" w:rsidRPr="00A168D4" w:rsidRDefault="009F40B9" w:rsidP="000D4F7B">
      <w:pPr>
        <w:spacing w:after="0"/>
        <w:ind w:left="284"/>
        <w:rPr>
          <w:noProof/>
          <w:highlight w:val="yellow"/>
          <w:lang w:eastAsia="pt-BR"/>
        </w:rPr>
      </w:pPr>
    </w:p>
    <w:p w14:paraId="27C95F81" w14:textId="05A8A9E9" w:rsidR="00B66177" w:rsidRDefault="00B66177" w:rsidP="000D4F7B">
      <w:pPr>
        <w:spacing w:after="0"/>
        <w:ind w:left="284"/>
        <w:rPr>
          <w:noProof/>
          <w:highlight w:val="yellow"/>
          <w:lang w:eastAsia="pt-BR"/>
        </w:rPr>
      </w:pPr>
      <w:r w:rsidRPr="00B66177">
        <w:rPr>
          <w:noProof/>
        </w:rPr>
        <w:drawing>
          <wp:inline distT="0" distB="0" distL="0" distR="0" wp14:anchorId="157421C2" wp14:editId="2AF33882">
            <wp:extent cx="4581525" cy="95329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55" cy="9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F1C34" w14:textId="2DE7671C" w:rsidR="00B66177" w:rsidRDefault="00B66177" w:rsidP="000D4F7B">
      <w:pPr>
        <w:spacing w:after="0"/>
        <w:ind w:left="284"/>
        <w:rPr>
          <w:noProof/>
          <w:highlight w:val="yellow"/>
          <w:lang w:eastAsia="pt-BR"/>
        </w:rPr>
      </w:pPr>
    </w:p>
    <w:p w14:paraId="216B6B40" w14:textId="30FE3411" w:rsidR="00904AEF" w:rsidRDefault="00904AEF" w:rsidP="000D4F7B">
      <w:pPr>
        <w:spacing w:after="0"/>
        <w:ind w:left="284"/>
        <w:rPr>
          <w:noProof/>
          <w:highlight w:val="yellow"/>
          <w:lang w:eastAsia="pt-BR"/>
        </w:rPr>
      </w:pPr>
    </w:p>
    <w:p w14:paraId="23204466" w14:textId="27ECB6D4" w:rsidR="00904AEF" w:rsidRDefault="00904AEF" w:rsidP="000D4F7B">
      <w:pPr>
        <w:spacing w:after="0"/>
        <w:ind w:left="284"/>
        <w:rPr>
          <w:noProof/>
          <w:highlight w:val="yellow"/>
          <w:lang w:eastAsia="pt-BR"/>
        </w:rPr>
      </w:pPr>
    </w:p>
    <w:p w14:paraId="553CCFF7" w14:textId="277CAD3F" w:rsidR="00A014BD" w:rsidRPr="00B66177" w:rsidRDefault="00A014BD" w:rsidP="00A014BD">
      <w:pPr>
        <w:pStyle w:val="PargrafodaLista"/>
        <w:numPr>
          <w:ilvl w:val="0"/>
          <w:numId w:val="2"/>
        </w:numPr>
        <w:spacing w:after="0"/>
        <w:jc w:val="both"/>
      </w:pPr>
      <w:r w:rsidRPr="00B66177">
        <w:rPr>
          <w:b/>
        </w:rPr>
        <w:t>Outros passivos</w:t>
      </w:r>
    </w:p>
    <w:p w14:paraId="548F5CB9" w14:textId="77777777" w:rsidR="00DB45B9" w:rsidRPr="00B66177" w:rsidRDefault="00DB45B9" w:rsidP="001D7B01">
      <w:pPr>
        <w:spacing w:after="0" w:line="240" w:lineRule="auto"/>
        <w:ind w:left="357" w:firstLine="493"/>
        <w:jc w:val="both"/>
      </w:pPr>
    </w:p>
    <w:p w14:paraId="7682921A" w14:textId="77777777" w:rsidR="00716FCB" w:rsidRPr="00B66177" w:rsidRDefault="00716FCB" w:rsidP="00716FCB">
      <w:pPr>
        <w:pStyle w:val="PargrafodaLista"/>
        <w:spacing w:after="0"/>
        <w:ind w:left="360"/>
        <w:jc w:val="both"/>
        <w:rPr>
          <w:b/>
        </w:rPr>
      </w:pPr>
      <w:r w:rsidRPr="00B66177">
        <w:rPr>
          <w:noProof/>
          <w:lang w:eastAsia="pt-BR"/>
        </w:rPr>
        <w:t>O grupo é composto por:</w:t>
      </w:r>
    </w:p>
    <w:p w14:paraId="0A9D5E25" w14:textId="77777777" w:rsidR="00716FCB" w:rsidRPr="00A168D4" w:rsidRDefault="00716FCB" w:rsidP="00DB45B9">
      <w:pPr>
        <w:spacing w:after="0" w:line="240" w:lineRule="auto"/>
        <w:ind w:left="357" w:hanging="73"/>
        <w:jc w:val="both"/>
        <w:rPr>
          <w:highlight w:val="yellow"/>
        </w:rPr>
      </w:pPr>
    </w:p>
    <w:p w14:paraId="277F40A9" w14:textId="2124D94A" w:rsidR="00B66177" w:rsidRDefault="00B66177" w:rsidP="00DB45B9">
      <w:pPr>
        <w:spacing w:after="0" w:line="240" w:lineRule="auto"/>
        <w:ind w:left="357" w:hanging="73"/>
        <w:jc w:val="both"/>
        <w:rPr>
          <w:highlight w:val="yellow"/>
        </w:rPr>
      </w:pPr>
      <w:r w:rsidRPr="00B66177">
        <w:rPr>
          <w:noProof/>
        </w:rPr>
        <w:drawing>
          <wp:inline distT="0" distB="0" distL="0" distR="0" wp14:anchorId="03C025EC" wp14:editId="449E0911">
            <wp:extent cx="4552950" cy="1081679"/>
            <wp:effectExtent l="0" t="0" r="0" b="444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975" cy="108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43397" w14:textId="77777777" w:rsidR="00B66177" w:rsidRPr="00A168D4" w:rsidRDefault="00B66177" w:rsidP="00DB45B9">
      <w:pPr>
        <w:spacing w:after="0" w:line="240" w:lineRule="auto"/>
        <w:ind w:left="357" w:hanging="73"/>
        <w:jc w:val="both"/>
        <w:rPr>
          <w:highlight w:val="yellow"/>
        </w:rPr>
      </w:pPr>
    </w:p>
    <w:p w14:paraId="548FC3BB" w14:textId="7216EFAF" w:rsidR="000F7835" w:rsidRPr="008B7359" w:rsidRDefault="00ED2413" w:rsidP="001D7B01">
      <w:pPr>
        <w:spacing w:after="0" w:line="240" w:lineRule="auto"/>
        <w:ind w:left="357" w:firstLine="493"/>
        <w:jc w:val="both"/>
      </w:pPr>
      <w:r w:rsidRPr="008B7359">
        <w:t>A conta “Correntistas Credores” refere-se ao registro dos valores retidos na folha de salários, os quais serão repassados a terceiros, sendo estes: pensões alimentícias, seguro de vida, empréstimos bancários e contribuições ABEP.</w:t>
      </w:r>
    </w:p>
    <w:p w14:paraId="34C227B2" w14:textId="77777777" w:rsidR="00ED2413" w:rsidRPr="008B7359" w:rsidRDefault="00ED2413" w:rsidP="001D7B01">
      <w:pPr>
        <w:spacing w:after="0" w:line="240" w:lineRule="auto"/>
        <w:ind w:left="357" w:firstLine="493"/>
        <w:jc w:val="both"/>
      </w:pPr>
    </w:p>
    <w:p w14:paraId="1779A478" w14:textId="62240FA7" w:rsidR="00ED2413" w:rsidRPr="008B7359" w:rsidRDefault="00802C5F" w:rsidP="001D7B01">
      <w:pPr>
        <w:spacing w:after="0" w:line="240" w:lineRule="auto"/>
        <w:ind w:left="357" w:firstLine="493"/>
        <w:jc w:val="both"/>
      </w:pPr>
      <w:r w:rsidRPr="008B7359">
        <w:t>A conta “Intermediação Rotativo BHTRANS” refere-se ao registro dos valores obtidos na intermediação na venda de créditos de estacionamento rotativo, os quais são devidos à BHTRANS e serão repassados conforme contrato.</w:t>
      </w:r>
    </w:p>
    <w:p w14:paraId="30A74A0A" w14:textId="77777777" w:rsidR="00ED2413" w:rsidRPr="008B7359" w:rsidRDefault="00ED2413" w:rsidP="001D7B01">
      <w:pPr>
        <w:spacing w:after="0" w:line="240" w:lineRule="auto"/>
        <w:ind w:left="357" w:firstLine="493"/>
        <w:jc w:val="both"/>
      </w:pPr>
    </w:p>
    <w:p w14:paraId="20A9A569" w14:textId="72AAEBDB" w:rsidR="00ED2413" w:rsidRPr="008B7359" w:rsidRDefault="00432F80" w:rsidP="001D7B01">
      <w:pPr>
        <w:spacing w:after="0" w:line="240" w:lineRule="auto"/>
        <w:ind w:left="357" w:firstLine="493"/>
        <w:jc w:val="both"/>
      </w:pPr>
      <w:r w:rsidRPr="008B7359">
        <w:t>A conta “Subvenção a apropriar” refere-se ao registro dos valores vinculados à subscrição de software, os quais são apropriados mensalmente concomitante com a respectiva despesa.</w:t>
      </w:r>
    </w:p>
    <w:p w14:paraId="7078EBE9" w14:textId="77777777" w:rsidR="00432F80" w:rsidRPr="008B7359" w:rsidRDefault="00432F80" w:rsidP="001D7B01">
      <w:pPr>
        <w:spacing w:after="0" w:line="240" w:lineRule="auto"/>
        <w:ind w:left="357" w:firstLine="493"/>
        <w:jc w:val="both"/>
      </w:pPr>
    </w:p>
    <w:p w14:paraId="22272E37" w14:textId="208C15BF" w:rsidR="00432F80" w:rsidRDefault="00432F80" w:rsidP="001D7B01">
      <w:pPr>
        <w:spacing w:after="0" w:line="240" w:lineRule="auto"/>
        <w:ind w:left="357" w:firstLine="493"/>
        <w:jc w:val="both"/>
      </w:pPr>
      <w:r w:rsidRPr="008B7359">
        <w:t xml:space="preserve">A conta “Recursos de Terceiros” refere-se ao registro dos valores relativos ao convênio celebrado entre a Prodabel e o </w:t>
      </w:r>
      <w:r w:rsidR="00147B20" w:rsidRPr="008B7359">
        <w:t>Ministério das Comunicações.</w:t>
      </w:r>
      <w:r w:rsidRPr="008B7359">
        <w:t xml:space="preserve"> </w:t>
      </w:r>
    </w:p>
    <w:p w14:paraId="392B1582" w14:textId="44E4DCE4" w:rsidR="005A49EC" w:rsidRDefault="005A49EC" w:rsidP="001D7B01">
      <w:pPr>
        <w:spacing w:after="0" w:line="240" w:lineRule="auto"/>
        <w:ind w:left="357" w:firstLine="493"/>
        <w:jc w:val="both"/>
      </w:pPr>
    </w:p>
    <w:p w14:paraId="1AFAE74E" w14:textId="268851F6" w:rsidR="005A49EC" w:rsidRDefault="005A49EC" w:rsidP="001D7B01">
      <w:pPr>
        <w:spacing w:after="0" w:line="240" w:lineRule="auto"/>
        <w:ind w:left="357" w:firstLine="493"/>
        <w:jc w:val="both"/>
      </w:pPr>
    </w:p>
    <w:p w14:paraId="5A8FA283" w14:textId="77777777" w:rsidR="00AA2A2F" w:rsidRPr="00CB4B15" w:rsidRDefault="00AA2A2F" w:rsidP="00EE5DEC">
      <w:pPr>
        <w:pStyle w:val="PargrafodaLista"/>
        <w:numPr>
          <w:ilvl w:val="0"/>
          <w:numId w:val="2"/>
        </w:numPr>
        <w:spacing w:after="0"/>
        <w:jc w:val="both"/>
      </w:pPr>
      <w:r w:rsidRPr="00CB4B15">
        <w:rPr>
          <w:b/>
        </w:rPr>
        <w:t xml:space="preserve">Provisões </w:t>
      </w:r>
      <w:r w:rsidR="000A710C" w:rsidRPr="00CB4B15">
        <w:rPr>
          <w:b/>
        </w:rPr>
        <w:t>para ações trabalhistas</w:t>
      </w:r>
    </w:p>
    <w:p w14:paraId="06894D12" w14:textId="77777777" w:rsidR="002A58FE" w:rsidRPr="00CB4B15" w:rsidRDefault="002A58FE" w:rsidP="00EE5DEC">
      <w:pPr>
        <w:spacing w:after="0" w:line="240" w:lineRule="auto"/>
        <w:ind w:left="357" w:firstLine="493"/>
        <w:jc w:val="both"/>
      </w:pPr>
    </w:p>
    <w:p w14:paraId="535A629E" w14:textId="6EBC8452" w:rsidR="00AA2A2F" w:rsidRPr="00CB4B15" w:rsidRDefault="00AA2A2F" w:rsidP="00EE5DEC">
      <w:pPr>
        <w:spacing w:after="0" w:line="240" w:lineRule="auto"/>
        <w:ind w:left="357" w:firstLine="493"/>
        <w:jc w:val="both"/>
      </w:pPr>
      <w:r w:rsidRPr="00CB4B15">
        <w:t>Processos em andamento com perda provável, com provisão de contingência reconhecida – A Companhia possui provisão relativa aos processos judiciais movidos por ex-empregados, ex-estagiários e funcionários de prestadores de serviços em que pleiteiam horas extras, verbas rescisórias, entr</w:t>
      </w:r>
      <w:r w:rsidR="000A710C" w:rsidRPr="00CB4B15">
        <w:t>e outras demandas específicas.</w:t>
      </w:r>
      <w:r w:rsidR="004C5BCC" w:rsidRPr="00CB4B15">
        <w:t xml:space="preserve"> Foi efetuada provisão contábil para as ações avaliadas com perda provável pela Assessoria Jurídica da empresa.</w:t>
      </w:r>
    </w:p>
    <w:p w14:paraId="43FADA50" w14:textId="77777777" w:rsidR="00245C97" w:rsidRPr="00A168D4" w:rsidRDefault="00245C97" w:rsidP="004424C8">
      <w:pPr>
        <w:spacing w:after="0" w:line="240" w:lineRule="auto"/>
        <w:ind w:left="357" w:firstLine="493"/>
        <w:jc w:val="both"/>
        <w:rPr>
          <w:highlight w:val="yellow"/>
        </w:rPr>
      </w:pPr>
    </w:p>
    <w:p w14:paraId="3B21C98E" w14:textId="2629D9EE" w:rsidR="005A49EC" w:rsidRDefault="00CB4B15" w:rsidP="00CB4B15">
      <w:pPr>
        <w:spacing w:after="0" w:line="240" w:lineRule="auto"/>
        <w:ind w:left="357" w:firstLine="69"/>
        <w:jc w:val="both"/>
        <w:rPr>
          <w:highlight w:val="yellow"/>
        </w:rPr>
      </w:pPr>
      <w:r w:rsidRPr="00CB4B15">
        <w:rPr>
          <w:noProof/>
        </w:rPr>
        <w:drawing>
          <wp:inline distT="0" distB="0" distL="0" distR="0" wp14:anchorId="1AD79162" wp14:editId="08A53197">
            <wp:extent cx="4635500" cy="323909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216" cy="34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2D40" w14:textId="545FD6AD" w:rsidR="005A49EC" w:rsidRDefault="005A49EC" w:rsidP="004424C8">
      <w:pPr>
        <w:spacing w:after="0" w:line="240" w:lineRule="auto"/>
        <w:ind w:left="357" w:firstLine="493"/>
        <w:jc w:val="both"/>
        <w:rPr>
          <w:highlight w:val="yellow"/>
        </w:rPr>
      </w:pPr>
    </w:p>
    <w:p w14:paraId="23CBD360" w14:textId="08948FC4" w:rsidR="00823E16" w:rsidRPr="00CB4B15" w:rsidRDefault="00823E16" w:rsidP="00EE5DEC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 w:rsidRPr="00CB4B15">
        <w:rPr>
          <w:b/>
        </w:rPr>
        <w:t xml:space="preserve">Outras obrigações </w:t>
      </w:r>
      <w:r w:rsidR="000E0439" w:rsidRPr="00CB4B15">
        <w:rPr>
          <w:b/>
        </w:rPr>
        <w:t>de longo prazo</w:t>
      </w:r>
    </w:p>
    <w:p w14:paraId="5C5E684E" w14:textId="77777777" w:rsidR="002A58FE" w:rsidRPr="00CB4B15" w:rsidRDefault="002A58FE" w:rsidP="005D21C3">
      <w:pPr>
        <w:spacing w:after="0" w:line="240" w:lineRule="auto"/>
        <w:ind w:left="357" w:firstLine="493"/>
        <w:jc w:val="both"/>
      </w:pPr>
    </w:p>
    <w:p w14:paraId="5CC96E27" w14:textId="36543FDF" w:rsidR="005D21C3" w:rsidRPr="00CB4B15" w:rsidRDefault="002749C9" w:rsidP="005D21C3">
      <w:pPr>
        <w:spacing w:after="0" w:line="240" w:lineRule="auto"/>
        <w:ind w:left="357" w:firstLine="493"/>
        <w:jc w:val="both"/>
      </w:pPr>
      <w:r w:rsidRPr="00CB4B15">
        <w:t>A conta “Encargos e contribuições sob judice” r</w:t>
      </w:r>
      <w:r w:rsidR="005D21C3" w:rsidRPr="00CB4B15">
        <w:t>efere-se a valores de INSS compensados em 2016, mas que ainda não foram homologados pela Receita Federal do Brasil. Por prudência optou-se por manter estes valores no passivo não circulante enquanto a homologação pela RFB não é feita.</w:t>
      </w:r>
    </w:p>
    <w:p w14:paraId="47765BEC" w14:textId="77777777" w:rsidR="000E21C6" w:rsidRPr="00A168D4" w:rsidRDefault="000E21C6" w:rsidP="002749C9">
      <w:pPr>
        <w:spacing w:after="0" w:line="240" w:lineRule="auto"/>
        <w:ind w:left="357" w:firstLine="493"/>
        <w:jc w:val="both"/>
        <w:rPr>
          <w:highlight w:val="yellow"/>
        </w:rPr>
      </w:pPr>
    </w:p>
    <w:p w14:paraId="749943D5" w14:textId="06556861" w:rsidR="00263289" w:rsidRDefault="00263289" w:rsidP="005E0B67">
      <w:pPr>
        <w:spacing w:after="0" w:line="240" w:lineRule="auto"/>
        <w:ind w:left="357" w:hanging="215"/>
        <w:jc w:val="both"/>
        <w:rPr>
          <w:highlight w:val="yellow"/>
        </w:rPr>
      </w:pPr>
    </w:p>
    <w:p w14:paraId="1591FBE0" w14:textId="3FFE87D8" w:rsidR="00CB4B15" w:rsidRDefault="00CB4B15" w:rsidP="005E0B67">
      <w:pPr>
        <w:spacing w:after="0" w:line="240" w:lineRule="auto"/>
        <w:ind w:left="357" w:hanging="215"/>
        <w:jc w:val="both"/>
        <w:rPr>
          <w:highlight w:val="yellow"/>
        </w:rPr>
      </w:pPr>
      <w:r w:rsidRPr="00CB4B15">
        <w:rPr>
          <w:noProof/>
        </w:rPr>
        <w:drawing>
          <wp:inline distT="0" distB="0" distL="0" distR="0" wp14:anchorId="7D168DC6" wp14:editId="24BC7ECA">
            <wp:extent cx="4886325" cy="599409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962" cy="6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B18A" w14:textId="77777777" w:rsidR="00043D17" w:rsidRPr="00A168D4" w:rsidRDefault="00043D17" w:rsidP="002749C9">
      <w:pPr>
        <w:spacing w:after="0" w:line="240" w:lineRule="auto"/>
        <w:ind w:left="357" w:firstLine="493"/>
        <w:jc w:val="both"/>
        <w:rPr>
          <w:highlight w:val="yellow"/>
        </w:rPr>
      </w:pPr>
    </w:p>
    <w:p w14:paraId="2F112A4E" w14:textId="77777777" w:rsidR="00AA2A2F" w:rsidRPr="00BA562C" w:rsidRDefault="00AA2A2F" w:rsidP="00EE5DEC">
      <w:pPr>
        <w:pStyle w:val="PargrafodaLista"/>
        <w:numPr>
          <w:ilvl w:val="0"/>
          <w:numId w:val="2"/>
        </w:numPr>
        <w:spacing w:after="0"/>
        <w:jc w:val="both"/>
      </w:pPr>
      <w:r w:rsidRPr="00BA562C">
        <w:rPr>
          <w:b/>
        </w:rPr>
        <w:t>Capital Social</w:t>
      </w:r>
    </w:p>
    <w:p w14:paraId="016165E7" w14:textId="77777777" w:rsidR="000E21C6" w:rsidRPr="00A168D4" w:rsidRDefault="000E21C6" w:rsidP="00D86B96">
      <w:pPr>
        <w:spacing w:after="0"/>
        <w:jc w:val="both"/>
        <w:rPr>
          <w:noProof/>
          <w:highlight w:val="yellow"/>
          <w:lang w:eastAsia="pt-BR"/>
        </w:rPr>
      </w:pPr>
    </w:p>
    <w:p w14:paraId="360C4698" w14:textId="475B02B5" w:rsidR="00BA562C" w:rsidRDefault="00BA562C" w:rsidP="00D86B96">
      <w:pPr>
        <w:spacing w:after="0"/>
        <w:jc w:val="both"/>
        <w:rPr>
          <w:noProof/>
          <w:highlight w:val="yellow"/>
          <w:lang w:eastAsia="pt-BR"/>
        </w:rPr>
      </w:pPr>
      <w:r w:rsidRPr="00BA562C">
        <w:rPr>
          <w:noProof/>
        </w:rPr>
        <w:drawing>
          <wp:inline distT="0" distB="0" distL="0" distR="0" wp14:anchorId="0815BB0D" wp14:editId="7E6B7B82">
            <wp:extent cx="4714875" cy="1576154"/>
            <wp:effectExtent l="0" t="0" r="0" b="508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073" cy="158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AC569" w14:textId="70144FBE" w:rsidR="00BA562C" w:rsidRDefault="00BA562C" w:rsidP="00D86B96">
      <w:pPr>
        <w:spacing w:after="0"/>
        <w:jc w:val="both"/>
        <w:rPr>
          <w:noProof/>
          <w:highlight w:val="yellow"/>
          <w:lang w:eastAsia="pt-BR"/>
        </w:rPr>
      </w:pPr>
    </w:p>
    <w:p w14:paraId="288B4540" w14:textId="5EA183F4" w:rsidR="00263289" w:rsidRDefault="00263289" w:rsidP="00D86B96">
      <w:pPr>
        <w:spacing w:after="0"/>
        <w:jc w:val="both"/>
        <w:rPr>
          <w:noProof/>
          <w:highlight w:val="yellow"/>
          <w:lang w:eastAsia="pt-BR"/>
        </w:rPr>
      </w:pPr>
    </w:p>
    <w:p w14:paraId="75500DC4" w14:textId="26F64E7C" w:rsidR="00CB4B15" w:rsidRDefault="00BA562C" w:rsidP="00D86B96">
      <w:pPr>
        <w:spacing w:after="0"/>
        <w:jc w:val="both"/>
        <w:rPr>
          <w:noProof/>
          <w:highlight w:val="yellow"/>
          <w:lang w:eastAsia="pt-BR"/>
        </w:rPr>
      </w:pPr>
      <w:r w:rsidRPr="00BA562C">
        <w:rPr>
          <w:noProof/>
        </w:rPr>
        <w:drawing>
          <wp:inline distT="0" distB="0" distL="0" distR="0" wp14:anchorId="712A0FD0" wp14:editId="69B14021">
            <wp:extent cx="3305175" cy="737870"/>
            <wp:effectExtent l="0" t="0" r="9525" b="508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887" cy="75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E5BAB" w14:textId="3B2F7C00" w:rsidR="00CB4B15" w:rsidRDefault="00CB4B15" w:rsidP="00D86B96">
      <w:pPr>
        <w:spacing w:after="0"/>
        <w:jc w:val="both"/>
        <w:rPr>
          <w:noProof/>
          <w:highlight w:val="yellow"/>
          <w:lang w:eastAsia="pt-BR"/>
        </w:rPr>
      </w:pPr>
    </w:p>
    <w:p w14:paraId="068312B9" w14:textId="77777777" w:rsidR="00AA2A2F" w:rsidRPr="001D5A73" w:rsidRDefault="00AA2A2F" w:rsidP="00EE5DEC">
      <w:pPr>
        <w:pStyle w:val="PargrafodaLista"/>
        <w:numPr>
          <w:ilvl w:val="0"/>
          <w:numId w:val="2"/>
        </w:numPr>
        <w:spacing w:after="0"/>
        <w:jc w:val="both"/>
      </w:pPr>
      <w:r w:rsidRPr="001D5A73">
        <w:rPr>
          <w:b/>
        </w:rPr>
        <w:t>Cobertura de Seguros</w:t>
      </w:r>
    </w:p>
    <w:p w14:paraId="7A02CEB7" w14:textId="77777777" w:rsidR="002A58FE" w:rsidRPr="001D5A73" w:rsidRDefault="002A58FE" w:rsidP="00EE5DEC">
      <w:pPr>
        <w:spacing w:after="0" w:line="240" w:lineRule="auto"/>
        <w:ind w:left="357" w:firstLine="493"/>
        <w:jc w:val="both"/>
      </w:pPr>
    </w:p>
    <w:p w14:paraId="6D7204EB" w14:textId="77777777" w:rsidR="00AA2A2F" w:rsidRPr="001D5A73" w:rsidRDefault="00AA2A2F" w:rsidP="00EE5DEC">
      <w:pPr>
        <w:spacing w:after="0" w:line="240" w:lineRule="auto"/>
        <w:ind w:left="357" w:firstLine="493"/>
        <w:jc w:val="both"/>
      </w:pPr>
      <w:r w:rsidRPr="001D5A73">
        <w:t>A política da entidade é de manter cobertura de seguros para os bens do imobilizado por montantes considerados suficientes para cobrir eventuais sinistros, levando-se em consideração a natureza de suas atividades operacionais.</w:t>
      </w:r>
    </w:p>
    <w:p w14:paraId="1FDB1D58" w14:textId="0E4D2086" w:rsidR="006E536A" w:rsidRDefault="006E536A" w:rsidP="00EE5DEC">
      <w:pPr>
        <w:spacing w:after="0" w:line="240" w:lineRule="auto"/>
        <w:ind w:left="357" w:firstLine="493"/>
        <w:jc w:val="both"/>
        <w:rPr>
          <w:highlight w:val="yellow"/>
        </w:rPr>
      </w:pPr>
    </w:p>
    <w:p w14:paraId="70F8B2A7" w14:textId="0A7918B7" w:rsidR="00BA562C" w:rsidRDefault="00BA562C" w:rsidP="00EE5DEC">
      <w:pPr>
        <w:spacing w:after="0" w:line="240" w:lineRule="auto"/>
        <w:ind w:left="357" w:firstLine="493"/>
        <w:jc w:val="both"/>
        <w:rPr>
          <w:highlight w:val="yellow"/>
        </w:rPr>
      </w:pPr>
    </w:p>
    <w:p w14:paraId="7B004B8A" w14:textId="260C5AE6" w:rsidR="00E1180C" w:rsidRPr="00BA562C" w:rsidRDefault="00E1180C" w:rsidP="00EE5DEC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 w:rsidRPr="00BA562C">
        <w:rPr>
          <w:b/>
        </w:rPr>
        <w:t>Despesas administrativas</w:t>
      </w:r>
      <w:r w:rsidR="003A3CCB" w:rsidRPr="00BA562C">
        <w:rPr>
          <w:b/>
        </w:rPr>
        <w:t xml:space="preserve"> e outras</w:t>
      </w:r>
    </w:p>
    <w:p w14:paraId="2EB650D7" w14:textId="77777777" w:rsidR="00D51DC1" w:rsidRPr="00A168D4" w:rsidRDefault="00D51DC1" w:rsidP="00D86B96">
      <w:pPr>
        <w:spacing w:after="0" w:line="240" w:lineRule="auto"/>
        <w:rPr>
          <w:noProof/>
          <w:highlight w:val="yellow"/>
          <w:lang w:eastAsia="pt-BR"/>
        </w:rPr>
      </w:pPr>
    </w:p>
    <w:p w14:paraId="6E1F4746" w14:textId="180549D5" w:rsidR="00B11E7B" w:rsidRDefault="00B11E7B" w:rsidP="00B11E7B">
      <w:pPr>
        <w:pStyle w:val="PargrafodaLista"/>
        <w:spacing w:after="0" w:line="240" w:lineRule="auto"/>
        <w:ind w:left="357" w:hanging="73"/>
        <w:jc w:val="both"/>
        <w:rPr>
          <w:rFonts w:cs="Arial"/>
        </w:rPr>
      </w:pPr>
      <w:r w:rsidRPr="00B11E7B">
        <w:rPr>
          <w:noProof/>
        </w:rPr>
        <w:drawing>
          <wp:inline distT="0" distB="0" distL="0" distR="0" wp14:anchorId="3B7C3238" wp14:editId="7F3E2655">
            <wp:extent cx="4505325" cy="2399575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66" cy="241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7BB3" w14:textId="77777777" w:rsidR="00B11E7B" w:rsidRDefault="00B11E7B" w:rsidP="00D63275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</w:p>
    <w:p w14:paraId="64A89051" w14:textId="77777777" w:rsidR="00B11E7B" w:rsidRDefault="00B11E7B" w:rsidP="00D63275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</w:p>
    <w:p w14:paraId="148CEDEE" w14:textId="77777777" w:rsidR="00B11E7B" w:rsidRDefault="00B11E7B" w:rsidP="00D63275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</w:p>
    <w:p w14:paraId="29217305" w14:textId="77777777" w:rsidR="00B11E7B" w:rsidRDefault="00B11E7B" w:rsidP="00D63275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</w:p>
    <w:p w14:paraId="38B59B3A" w14:textId="77777777" w:rsidR="00B11E7B" w:rsidRDefault="00B11E7B" w:rsidP="00D63275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</w:p>
    <w:p w14:paraId="6505D6FD" w14:textId="77777777" w:rsidR="00B11E7B" w:rsidRDefault="00B11E7B" w:rsidP="00D63275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</w:p>
    <w:p w14:paraId="42E9D0E9" w14:textId="6B74FE32" w:rsidR="00D63275" w:rsidRPr="00BA562C" w:rsidRDefault="00D63275" w:rsidP="00D63275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  <w:r w:rsidRPr="00BA562C">
        <w:rPr>
          <w:rFonts w:cs="Arial"/>
        </w:rPr>
        <w:t xml:space="preserve">A </w:t>
      </w:r>
      <w:r w:rsidR="00C122A2" w:rsidRPr="00BA562C">
        <w:rPr>
          <w:rFonts w:cs="Arial"/>
        </w:rPr>
        <w:t>conta</w:t>
      </w:r>
      <w:r w:rsidRPr="00BA562C">
        <w:rPr>
          <w:rFonts w:cs="Arial"/>
        </w:rPr>
        <w:t xml:space="preserve"> “</w:t>
      </w:r>
      <w:r w:rsidR="00C122A2" w:rsidRPr="00BA562C">
        <w:rPr>
          <w:rFonts w:cs="Arial"/>
        </w:rPr>
        <w:t>Custos Serviços em Geral” refere</w:t>
      </w:r>
      <w:r w:rsidRPr="00BA562C">
        <w:rPr>
          <w:rFonts w:cs="Arial"/>
        </w:rPr>
        <w:t xml:space="preserve">-se a custos inerentes às atividades executadas pela Prodabel tendo como beneficiária a Prefeitura Municipal de Belo Horizonte e seus componentes, em conformidade com o </w:t>
      </w:r>
      <w:r w:rsidR="00926FA9" w:rsidRPr="00BA562C">
        <w:rPr>
          <w:rFonts w:cs="Arial"/>
        </w:rPr>
        <w:t>Art. 4</w:t>
      </w:r>
      <w:r w:rsidRPr="00BA562C">
        <w:rPr>
          <w:rFonts w:cs="Arial"/>
        </w:rPr>
        <w:t>° do seu Estatuto Social da empresa.</w:t>
      </w:r>
      <w:r w:rsidR="00AC101A" w:rsidRPr="00BA562C">
        <w:rPr>
          <w:rFonts w:cs="Arial"/>
        </w:rPr>
        <w:t xml:space="preserve"> O valor é relativo à apropriação de custos, deco</w:t>
      </w:r>
      <w:r w:rsidR="00347B4A" w:rsidRPr="00BA562C">
        <w:rPr>
          <w:rFonts w:cs="Arial"/>
        </w:rPr>
        <w:t>rrentes das despesas da empresa</w:t>
      </w:r>
      <w:r w:rsidR="00AC101A" w:rsidRPr="00BA562C">
        <w:rPr>
          <w:rFonts w:cs="Arial"/>
        </w:rPr>
        <w:t>.</w:t>
      </w:r>
    </w:p>
    <w:p w14:paraId="783D96F3" w14:textId="77777777" w:rsidR="00E91E30" w:rsidRPr="00BA562C" w:rsidRDefault="00E91E30" w:rsidP="00D63275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</w:p>
    <w:p w14:paraId="509A85DB" w14:textId="57789744" w:rsidR="00C122A2" w:rsidRPr="00BA562C" w:rsidRDefault="00C122A2" w:rsidP="00D63275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  <w:r w:rsidRPr="00BA562C">
        <w:rPr>
          <w:rFonts w:cs="Arial"/>
        </w:rPr>
        <w:t>A conta “Despesas Legais e Tributárias” refere-se aos valores decorrentes de impostos como: PASEP/COFINS sobre receitas, Contribuição Previdenciária sobre Receita Bruta, despesas jurídicas e taxas.</w:t>
      </w:r>
    </w:p>
    <w:p w14:paraId="530E0949" w14:textId="77777777" w:rsidR="00C122A2" w:rsidRPr="00BA562C" w:rsidRDefault="00C122A2" w:rsidP="00D63275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</w:p>
    <w:p w14:paraId="57D58D51" w14:textId="370F63D7" w:rsidR="00347B4A" w:rsidRDefault="00651947" w:rsidP="00D63275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  <w:r w:rsidRPr="00BA562C">
        <w:rPr>
          <w:rFonts w:cs="Arial"/>
        </w:rPr>
        <w:t>A conta “</w:t>
      </w:r>
      <w:r w:rsidR="00347B4A" w:rsidRPr="00BA562C">
        <w:rPr>
          <w:rFonts w:cs="Arial"/>
        </w:rPr>
        <w:t xml:space="preserve">Outras </w:t>
      </w:r>
      <w:r w:rsidRPr="00BA562C">
        <w:rPr>
          <w:rFonts w:cs="Arial"/>
        </w:rPr>
        <w:t xml:space="preserve">Despesas Operacionais” refere-se aos valores </w:t>
      </w:r>
      <w:r w:rsidR="00CE489B" w:rsidRPr="00BA562C">
        <w:rPr>
          <w:rFonts w:cs="Arial"/>
        </w:rPr>
        <w:t>de perdas no serviço</w:t>
      </w:r>
      <w:r w:rsidR="00AC101A" w:rsidRPr="00BA562C">
        <w:rPr>
          <w:rFonts w:cs="Arial"/>
        </w:rPr>
        <w:t xml:space="preserve"> de intermediação, reembolso de despesas, </w:t>
      </w:r>
      <w:r w:rsidR="00CE489B" w:rsidRPr="00BA562C">
        <w:rPr>
          <w:rFonts w:cs="Arial"/>
        </w:rPr>
        <w:t xml:space="preserve">e principalmente a </w:t>
      </w:r>
      <w:r w:rsidR="00347B4A" w:rsidRPr="00BA562C">
        <w:rPr>
          <w:rFonts w:cs="Arial"/>
        </w:rPr>
        <w:t>perdas no recebimento de créditos.</w:t>
      </w:r>
    </w:p>
    <w:p w14:paraId="647609D7" w14:textId="1F647C09" w:rsidR="00BA562C" w:rsidRDefault="00BA562C" w:rsidP="00D63275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</w:p>
    <w:p w14:paraId="36DD8151" w14:textId="017C20C2" w:rsidR="00AA2A2F" w:rsidRPr="00BA562C" w:rsidRDefault="00D86B96" w:rsidP="00EE5DEC">
      <w:pPr>
        <w:pStyle w:val="PargrafodaLista"/>
        <w:numPr>
          <w:ilvl w:val="0"/>
          <w:numId w:val="2"/>
        </w:numPr>
        <w:spacing w:after="0"/>
        <w:jc w:val="both"/>
      </w:pPr>
      <w:r w:rsidRPr="00BA562C">
        <w:rPr>
          <w:b/>
        </w:rPr>
        <w:t>Outras receitas</w:t>
      </w:r>
    </w:p>
    <w:p w14:paraId="66EAF977" w14:textId="77777777" w:rsidR="00EB73AD" w:rsidRPr="00A168D4" w:rsidRDefault="00EB73AD" w:rsidP="00EE5DEC">
      <w:pPr>
        <w:pStyle w:val="PargrafodaLista"/>
        <w:spacing w:after="0" w:line="240" w:lineRule="auto"/>
        <w:ind w:left="357" w:firstLine="493"/>
        <w:jc w:val="both"/>
        <w:rPr>
          <w:rFonts w:cs="Arial"/>
          <w:highlight w:val="yellow"/>
        </w:rPr>
      </w:pPr>
    </w:p>
    <w:p w14:paraId="5D12BE8D" w14:textId="522C700A" w:rsidR="00BA562C" w:rsidRDefault="00BA562C" w:rsidP="00AA3288">
      <w:pPr>
        <w:pStyle w:val="PargrafodaLista"/>
        <w:spacing w:after="0" w:line="240" w:lineRule="auto"/>
        <w:ind w:left="284"/>
        <w:jc w:val="both"/>
        <w:rPr>
          <w:rFonts w:cs="Arial"/>
          <w:highlight w:val="yellow"/>
        </w:rPr>
      </w:pPr>
      <w:r w:rsidRPr="00BA562C">
        <w:rPr>
          <w:noProof/>
        </w:rPr>
        <w:drawing>
          <wp:inline distT="0" distB="0" distL="0" distR="0" wp14:anchorId="078B4B30" wp14:editId="3F8FB984">
            <wp:extent cx="4658995" cy="1562644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922" cy="156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2D6D0" w14:textId="29A7C068" w:rsidR="00BA562C" w:rsidRPr="00BA562C" w:rsidRDefault="00BA562C" w:rsidP="00AA3288">
      <w:pPr>
        <w:pStyle w:val="PargrafodaLista"/>
        <w:spacing w:after="0" w:line="240" w:lineRule="auto"/>
        <w:ind w:left="284"/>
        <w:jc w:val="both"/>
        <w:rPr>
          <w:rFonts w:cs="Arial"/>
        </w:rPr>
      </w:pPr>
    </w:p>
    <w:p w14:paraId="01D22C0C" w14:textId="00DBF833" w:rsidR="005B26B4" w:rsidRPr="00BA562C" w:rsidRDefault="008C06B0" w:rsidP="00EE5DEC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  <w:r w:rsidRPr="00BA562C">
        <w:rPr>
          <w:rFonts w:cs="Arial"/>
        </w:rPr>
        <w:t xml:space="preserve">A </w:t>
      </w:r>
      <w:r w:rsidR="00CD0019" w:rsidRPr="00BA562C">
        <w:rPr>
          <w:rFonts w:cs="Arial"/>
        </w:rPr>
        <w:t xml:space="preserve">conta </w:t>
      </w:r>
      <w:r w:rsidRPr="00BA562C">
        <w:rPr>
          <w:rFonts w:cs="Arial"/>
        </w:rPr>
        <w:t>“</w:t>
      </w:r>
      <w:r w:rsidR="00CD0019" w:rsidRPr="00BA562C">
        <w:rPr>
          <w:rFonts w:cs="Arial"/>
        </w:rPr>
        <w:t xml:space="preserve">Subvenção Econômica </w:t>
      </w:r>
      <w:r w:rsidRPr="00BA562C">
        <w:rPr>
          <w:rFonts w:cs="Arial"/>
        </w:rPr>
        <w:t xml:space="preserve">PBH” </w:t>
      </w:r>
      <w:r w:rsidR="00EC3115" w:rsidRPr="00BA562C">
        <w:rPr>
          <w:rFonts w:cs="Arial"/>
        </w:rPr>
        <w:t xml:space="preserve">é </w:t>
      </w:r>
      <w:r w:rsidR="00AA2A2F" w:rsidRPr="00BA562C">
        <w:rPr>
          <w:rFonts w:cs="Arial"/>
        </w:rPr>
        <w:t>co</w:t>
      </w:r>
      <w:r w:rsidR="00FB0C7F" w:rsidRPr="00BA562C">
        <w:rPr>
          <w:rFonts w:cs="Arial"/>
        </w:rPr>
        <w:t>nstituída</w:t>
      </w:r>
      <w:r w:rsidR="00EC3115" w:rsidRPr="00BA562C">
        <w:rPr>
          <w:rFonts w:cs="Arial"/>
        </w:rPr>
        <w:t xml:space="preserve"> pelos</w:t>
      </w:r>
      <w:r w:rsidR="00FB0C7F" w:rsidRPr="00BA562C">
        <w:rPr>
          <w:rFonts w:cs="Arial"/>
        </w:rPr>
        <w:t xml:space="preserve"> repasses efetuado</w:t>
      </w:r>
      <w:r w:rsidR="00AA2A2F" w:rsidRPr="00BA562C">
        <w:rPr>
          <w:rFonts w:cs="Arial"/>
        </w:rPr>
        <w:t>s pela Prefeitura Municipal de Belo Horizonte</w:t>
      </w:r>
      <w:r w:rsidR="00FB0C7F" w:rsidRPr="00BA562C">
        <w:rPr>
          <w:rFonts w:cs="Arial"/>
        </w:rPr>
        <w:t>, acionista controlador,</w:t>
      </w:r>
      <w:r w:rsidR="00AA2A2F" w:rsidRPr="00BA562C">
        <w:rPr>
          <w:rFonts w:cs="Arial"/>
        </w:rPr>
        <w:t xml:space="preserve"> destinados </w:t>
      </w:r>
      <w:r w:rsidR="0027758C" w:rsidRPr="00BA562C">
        <w:rPr>
          <w:rFonts w:cs="Arial"/>
        </w:rPr>
        <w:t>às</w:t>
      </w:r>
      <w:r w:rsidR="00B96011" w:rsidRPr="00BA562C">
        <w:rPr>
          <w:rFonts w:cs="Arial"/>
        </w:rPr>
        <w:t xml:space="preserve"> despesas com pessoal e</w:t>
      </w:r>
      <w:r w:rsidR="00AA2A2F" w:rsidRPr="00BA562C">
        <w:rPr>
          <w:rFonts w:cs="Arial"/>
        </w:rPr>
        <w:t xml:space="preserve"> custeio </w:t>
      </w:r>
      <w:r w:rsidR="005B3C7A" w:rsidRPr="00BA562C">
        <w:rPr>
          <w:rFonts w:cs="Arial"/>
        </w:rPr>
        <w:t xml:space="preserve">geral </w:t>
      </w:r>
      <w:r w:rsidR="00AA2A2F" w:rsidRPr="00BA562C">
        <w:rPr>
          <w:rFonts w:cs="Arial"/>
        </w:rPr>
        <w:t xml:space="preserve">da </w:t>
      </w:r>
      <w:r w:rsidR="00EC3115" w:rsidRPr="00BA562C">
        <w:rPr>
          <w:rFonts w:cs="Arial"/>
        </w:rPr>
        <w:t>Prodabel</w:t>
      </w:r>
      <w:r w:rsidR="005B3C7A" w:rsidRPr="00BA562C">
        <w:rPr>
          <w:rFonts w:cs="Arial"/>
        </w:rPr>
        <w:t xml:space="preserve">. </w:t>
      </w:r>
      <w:r w:rsidR="00BA47F1" w:rsidRPr="00BA562C">
        <w:rPr>
          <w:rFonts w:cs="Arial"/>
        </w:rPr>
        <w:t>A Prodabel faz parte da estrutura do município</w:t>
      </w:r>
      <w:r w:rsidR="00EC3115" w:rsidRPr="00BA562C">
        <w:rPr>
          <w:rFonts w:cs="Arial"/>
        </w:rPr>
        <w:t>, subordinada à Secretaria Municipal de Planejamento,</w:t>
      </w:r>
      <w:r w:rsidR="00BA47F1" w:rsidRPr="00BA562C">
        <w:rPr>
          <w:rFonts w:cs="Arial"/>
        </w:rPr>
        <w:t xml:space="preserve"> </w:t>
      </w:r>
      <w:r w:rsidR="005B26B4" w:rsidRPr="00BA562C">
        <w:rPr>
          <w:rFonts w:cs="Arial"/>
        </w:rPr>
        <w:t xml:space="preserve">sendo o </w:t>
      </w:r>
      <w:r w:rsidR="00BA47F1" w:rsidRPr="00BA562C">
        <w:rPr>
          <w:rFonts w:cs="Arial"/>
        </w:rPr>
        <w:t xml:space="preserve">orçamento da empresa previsto na LOA </w:t>
      </w:r>
      <w:r w:rsidR="005B26B4" w:rsidRPr="00BA562C">
        <w:rPr>
          <w:rFonts w:cs="Arial"/>
        </w:rPr>
        <w:t>municipal</w:t>
      </w:r>
      <w:r w:rsidR="00BA47F1" w:rsidRPr="00BA562C">
        <w:rPr>
          <w:rFonts w:cs="Arial"/>
        </w:rPr>
        <w:t>, demonst</w:t>
      </w:r>
      <w:r w:rsidR="000F43D3" w:rsidRPr="00BA562C">
        <w:rPr>
          <w:rFonts w:cs="Arial"/>
        </w:rPr>
        <w:t xml:space="preserve">rando sua dependência conforme </w:t>
      </w:r>
      <w:r w:rsidR="00BA47F1" w:rsidRPr="00BA562C">
        <w:rPr>
          <w:rFonts w:cs="Arial"/>
        </w:rPr>
        <w:t>classificação da Lei Complementar 101/2000.</w:t>
      </w:r>
    </w:p>
    <w:p w14:paraId="640647D1" w14:textId="77777777" w:rsidR="004E17D9" w:rsidRPr="00A168D4" w:rsidRDefault="004E17D9" w:rsidP="00CD0019">
      <w:pPr>
        <w:pStyle w:val="PargrafodaLista"/>
        <w:spacing w:after="0" w:line="240" w:lineRule="auto"/>
        <w:ind w:left="357" w:firstLine="493"/>
        <w:jc w:val="both"/>
        <w:rPr>
          <w:rFonts w:cs="Arial"/>
          <w:highlight w:val="yellow"/>
        </w:rPr>
      </w:pPr>
    </w:p>
    <w:p w14:paraId="6D635CE5" w14:textId="77777777" w:rsidR="00E044CA" w:rsidRPr="008446AC" w:rsidRDefault="00E044CA" w:rsidP="00CD0019">
      <w:pPr>
        <w:pStyle w:val="PargrafodaLista"/>
        <w:spacing w:after="0" w:line="240" w:lineRule="auto"/>
        <w:ind w:left="357" w:firstLine="493"/>
        <w:jc w:val="both"/>
        <w:rPr>
          <w:rFonts w:cs="Arial"/>
        </w:rPr>
      </w:pPr>
    </w:p>
    <w:p w14:paraId="63333E28" w14:textId="77777777" w:rsidR="00E044CA" w:rsidRPr="008446AC" w:rsidRDefault="00E044CA" w:rsidP="00E044CA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 w:rsidRPr="008446AC">
        <w:rPr>
          <w:b/>
        </w:rPr>
        <w:t>Imposto de Renda e Contribuição Social Sobre Lucro Líquido</w:t>
      </w:r>
    </w:p>
    <w:p w14:paraId="3FE48077" w14:textId="77777777" w:rsidR="00E044CA" w:rsidRPr="008446AC" w:rsidRDefault="00E044CA" w:rsidP="00E044CA">
      <w:pPr>
        <w:pStyle w:val="PargrafodaLista"/>
        <w:spacing w:after="0" w:line="240" w:lineRule="auto"/>
        <w:ind w:left="357" w:firstLine="493"/>
        <w:jc w:val="both"/>
      </w:pPr>
    </w:p>
    <w:p w14:paraId="3C211957" w14:textId="60C44D51" w:rsidR="00E044CA" w:rsidRPr="008446AC" w:rsidRDefault="00E044CA" w:rsidP="00E044CA">
      <w:pPr>
        <w:pStyle w:val="PargrafodaLista"/>
        <w:spacing w:after="0" w:line="240" w:lineRule="auto"/>
        <w:ind w:left="357" w:firstLine="493"/>
        <w:jc w:val="both"/>
      </w:pPr>
      <w:r w:rsidRPr="008446AC">
        <w:t xml:space="preserve">A empresa levantou balancete de suspensão em todos os meses do </w:t>
      </w:r>
      <w:r w:rsidR="008446AC" w:rsidRPr="008446AC">
        <w:t>3</w:t>
      </w:r>
      <w:r w:rsidRPr="008446AC">
        <w:t xml:space="preserve">º </w:t>
      </w:r>
      <w:r w:rsidR="008446AC" w:rsidRPr="008446AC">
        <w:t>trimestre</w:t>
      </w:r>
      <w:r w:rsidRPr="008446AC">
        <w:t xml:space="preserve"> de 202</w:t>
      </w:r>
      <w:r w:rsidR="008446AC" w:rsidRPr="008446AC">
        <w:t>2</w:t>
      </w:r>
      <w:r w:rsidRPr="008446AC">
        <w:t>, nos quais foi apurado prejuízo fiscal e base negativa para cálculo da CSLL.</w:t>
      </w:r>
    </w:p>
    <w:p w14:paraId="2A12C52C" w14:textId="77777777" w:rsidR="001435DD" w:rsidRPr="00A168D4" w:rsidRDefault="001435DD" w:rsidP="00E044CA">
      <w:pPr>
        <w:pStyle w:val="PargrafodaLista"/>
        <w:spacing w:after="0" w:line="240" w:lineRule="auto"/>
        <w:ind w:left="357" w:firstLine="493"/>
        <w:jc w:val="both"/>
        <w:rPr>
          <w:highlight w:val="yellow"/>
        </w:rPr>
      </w:pPr>
    </w:p>
    <w:p w14:paraId="17EFBD06" w14:textId="77777777" w:rsidR="00E044CA" w:rsidRPr="00A168D4" w:rsidRDefault="00E044CA" w:rsidP="00CD0019">
      <w:pPr>
        <w:pStyle w:val="PargrafodaLista"/>
        <w:spacing w:after="0" w:line="240" w:lineRule="auto"/>
        <w:ind w:left="357" w:firstLine="493"/>
        <w:jc w:val="both"/>
        <w:rPr>
          <w:rFonts w:cs="Arial"/>
          <w:highlight w:val="yellow"/>
        </w:rPr>
      </w:pPr>
    </w:p>
    <w:p w14:paraId="76F06E45" w14:textId="77777777" w:rsidR="00A7635A" w:rsidRPr="00BA562C" w:rsidRDefault="00A7635A" w:rsidP="00EE5DEC">
      <w:pPr>
        <w:pStyle w:val="PargrafodaLista"/>
        <w:numPr>
          <w:ilvl w:val="0"/>
          <w:numId w:val="2"/>
        </w:numPr>
        <w:spacing w:after="0"/>
        <w:jc w:val="both"/>
      </w:pPr>
      <w:r w:rsidRPr="00BA562C">
        <w:rPr>
          <w:b/>
        </w:rPr>
        <w:t>Resultado líquido no período</w:t>
      </w:r>
    </w:p>
    <w:p w14:paraId="6EB50771" w14:textId="77777777" w:rsidR="005720E1" w:rsidRPr="00A168D4" w:rsidRDefault="005720E1" w:rsidP="00EE5DEC">
      <w:pPr>
        <w:pStyle w:val="PargrafodaLista"/>
        <w:spacing w:after="0" w:line="240" w:lineRule="auto"/>
        <w:ind w:left="357" w:firstLine="493"/>
        <w:jc w:val="both"/>
        <w:rPr>
          <w:rFonts w:cs="Arial"/>
          <w:highlight w:val="yellow"/>
        </w:rPr>
      </w:pPr>
    </w:p>
    <w:p w14:paraId="74B6FB2D" w14:textId="2ACEDF77" w:rsidR="00BA562C" w:rsidRDefault="00BA562C" w:rsidP="00CF501D">
      <w:pPr>
        <w:pStyle w:val="PargrafodaLista"/>
        <w:spacing w:after="0" w:line="240" w:lineRule="auto"/>
        <w:ind w:left="357" w:firstLine="493"/>
        <w:jc w:val="both"/>
        <w:rPr>
          <w:highlight w:val="yellow"/>
        </w:rPr>
      </w:pPr>
    </w:p>
    <w:p w14:paraId="5D5FA448" w14:textId="3B9DD0D8" w:rsidR="00BA562C" w:rsidRDefault="00BA562C" w:rsidP="00BA562C">
      <w:pPr>
        <w:pStyle w:val="PargrafodaLista"/>
        <w:spacing w:after="0" w:line="240" w:lineRule="auto"/>
        <w:ind w:left="357" w:hanging="73"/>
        <w:jc w:val="both"/>
        <w:rPr>
          <w:highlight w:val="yellow"/>
        </w:rPr>
      </w:pPr>
      <w:r w:rsidRPr="00BA562C">
        <w:rPr>
          <w:noProof/>
        </w:rPr>
        <w:drawing>
          <wp:inline distT="0" distB="0" distL="0" distR="0" wp14:anchorId="40CB20D4" wp14:editId="4F96FAFB">
            <wp:extent cx="5086350" cy="355413"/>
            <wp:effectExtent l="0" t="0" r="0" b="698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665" cy="36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08B20" w14:textId="2A2620A5" w:rsidR="00BA562C" w:rsidRDefault="00BA562C" w:rsidP="00CF501D">
      <w:pPr>
        <w:pStyle w:val="PargrafodaLista"/>
        <w:spacing w:after="0" w:line="240" w:lineRule="auto"/>
        <w:ind w:left="357" w:firstLine="493"/>
        <w:jc w:val="both"/>
        <w:rPr>
          <w:highlight w:val="yellow"/>
        </w:rPr>
      </w:pPr>
    </w:p>
    <w:p w14:paraId="13BF2180" w14:textId="531DC73D" w:rsidR="00BA562C" w:rsidRDefault="00BA562C" w:rsidP="00CF501D">
      <w:pPr>
        <w:pStyle w:val="PargrafodaLista"/>
        <w:spacing w:after="0" w:line="240" w:lineRule="auto"/>
        <w:ind w:left="357" w:firstLine="493"/>
        <w:jc w:val="both"/>
        <w:rPr>
          <w:highlight w:val="yellow"/>
        </w:rPr>
      </w:pPr>
    </w:p>
    <w:p w14:paraId="38715BE2" w14:textId="6FDEB614" w:rsidR="009370C4" w:rsidRDefault="009370C4" w:rsidP="00CF501D">
      <w:pPr>
        <w:pStyle w:val="PargrafodaLista"/>
        <w:spacing w:after="0" w:line="240" w:lineRule="auto"/>
        <w:ind w:left="357" w:firstLine="493"/>
        <w:jc w:val="both"/>
        <w:rPr>
          <w:highlight w:val="yellow"/>
        </w:rPr>
      </w:pPr>
    </w:p>
    <w:p w14:paraId="4DFC1A52" w14:textId="5B8A9BC5" w:rsidR="009370C4" w:rsidRDefault="009370C4" w:rsidP="00CF501D">
      <w:pPr>
        <w:pStyle w:val="PargrafodaLista"/>
        <w:spacing w:after="0" w:line="240" w:lineRule="auto"/>
        <w:ind w:left="357" w:firstLine="493"/>
        <w:jc w:val="both"/>
        <w:rPr>
          <w:highlight w:val="yellow"/>
        </w:rPr>
      </w:pPr>
    </w:p>
    <w:p w14:paraId="6F86C88E" w14:textId="20C8D052" w:rsidR="009370C4" w:rsidRDefault="009370C4" w:rsidP="00CF501D">
      <w:pPr>
        <w:pStyle w:val="PargrafodaLista"/>
        <w:spacing w:after="0" w:line="240" w:lineRule="auto"/>
        <w:ind w:left="357" w:firstLine="493"/>
        <w:jc w:val="both"/>
        <w:rPr>
          <w:highlight w:val="yellow"/>
        </w:rPr>
      </w:pPr>
    </w:p>
    <w:p w14:paraId="52ECA072" w14:textId="5AD41A44" w:rsidR="009370C4" w:rsidRDefault="009370C4" w:rsidP="00CF501D">
      <w:pPr>
        <w:pStyle w:val="PargrafodaLista"/>
        <w:spacing w:after="0" w:line="240" w:lineRule="auto"/>
        <w:ind w:left="357" w:firstLine="493"/>
        <w:jc w:val="both"/>
        <w:rPr>
          <w:highlight w:val="yellow"/>
        </w:rPr>
      </w:pPr>
    </w:p>
    <w:p w14:paraId="16008F47" w14:textId="77777777" w:rsidR="009370C4" w:rsidRPr="00A168D4" w:rsidRDefault="009370C4" w:rsidP="00CF501D">
      <w:pPr>
        <w:pStyle w:val="PargrafodaLista"/>
        <w:spacing w:after="0" w:line="240" w:lineRule="auto"/>
        <w:ind w:left="357" w:firstLine="493"/>
        <w:jc w:val="both"/>
        <w:rPr>
          <w:highlight w:val="yellow"/>
        </w:rPr>
      </w:pPr>
    </w:p>
    <w:p w14:paraId="07A428C0" w14:textId="77777777" w:rsidR="00621E45" w:rsidRPr="00A168D4" w:rsidRDefault="00621E45" w:rsidP="00621E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highlight w:val="yellow"/>
        </w:rPr>
      </w:pPr>
    </w:p>
    <w:p w14:paraId="5B86D62B" w14:textId="742D9211" w:rsidR="0025228A" w:rsidRPr="00BB5FEC" w:rsidRDefault="008F79C0" w:rsidP="0025228A">
      <w:pPr>
        <w:pStyle w:val="PargrafodaLista"/>
        <w:numPr>
          <w:ilvl w:val="0"/>
          <w:numId w:val="2"/>
        </w:numPr>
        <w:spacing w:after="0"/>
        <w:jc w:val="both"/>
      </w:pPr>
      <w:r w:rsidRPr="00BB5FEC">
        <w:rPr>
          <w:b/>
        </w:rPr>
        <w:t xml:space="preserve">Transações </w:t>
      </w:r>
      <w:r w:rsidR="00590392" w:rsidRPr="00BB5FEC">
        <w:rPr>
          <w:b/>
        </w:rPr>
        <w:t>entre</w:t>
      </w:r>
      <w:r w:rsidRPr="00BB5FEC">
        <w:rPr>
          <w:b/>
        </w:rPr>
        <w:t xml:space="preserve"> partes relacionadas</w:t>
      </w:r>
    </w:p>
    <w:p w14:paraId="58C1442E" w14:textId="77777777" w:rsidR="002A58FE" w:rsidRPr="00BB5FEC" w:rsidRDefault="002A58FE" w:rsidP="008F79C0">
      <w:pPr>
        <w:pStyle w:val="PargrafodaLista"/>
        <w:spacing w:after="0" w:line="240" w:lineRule="auto"/>
        <w:ind w:left="357" w:firstLine="493"/>
        <w:jc w:val="both"/>
      </w:pPr>
    </w:p>
    <w:p w14:paraId="0C7EE737" w14:textId="76A6342C" w:rsidR="00590392" w:rsidRPr="00BB5FEC" w:rsidRDefault="00590392" w:rsidP="008F79C0">
      <w:pPr>
        <w:pStyle w:val="PargrafodaLista"/>
        <w:spacing w:after="0" w:line="240" w:lineRule="auto"/>
        <w:ind w:left="357" w:firstLine="493"/>
        <w:jc w:val="both"/>
      </w:pPr>
      <w:r w:rsidRPr="00BB5FEC">
        <w:t>N</w:t>
      </w:r>
      <w:r w:rsidR="008F79C0" w:rsidRPr="00BB5FEC">
        <w:t xml:space="preserve">o exercício </w:t>
      </w:r>
      <w:r w:rsidRPr="00BB5FEC">
        <w:t>de</w:t>
      </w:r>
      <w:r w:rsidR="00785142" w:rsidRPr="00BB5FEC">
        <w:t xml:space="preserve"> 202</w:t>
      </w:r>
      <w:r w:rsidR="00BB5FEC" w:rsidRPr="00BB5FEC">
        <w:t>2</w:t>
      </w:r>
      <w:r w:rsidRPr="00BB5FEC">
        <w:t xml:space="preserve"> a Prodabel prestou serviços, mediante a celebração de contratos, </w:t>
      </w:r>
      <w:r w:rsidR="0080507D" w:rsidRPr="00BB5FEC">
        <w:t>com a</w:t>
      </w:r>
      <w:r w:rsidRPr="00BB5FEC">
        <w:t xml:space="preserve"> Empresa de Transporte e Trânsito de Belo Horizonte S/A – BHTRANS</w:t>
      </w:r>
      <w:r w:rsidR="0080507D" w:rsidRPr="00BB5FEC">
        <w:t xml:space="preserve"> e a PBH Ativos S/A</w:t>
      </w:r>
      <w:r w:rsidRPr="00BB5FEC">
        <w:t xml:space="preserve">, sendo Prodabel uma das acionistas </w:t>
      </w:r>
      <w:r w:rsidR="0080507D" w:rsidRPr="00BB5FEC">
        <w:t>minoritárias destas empresas.</w:t>
      </w:r>
    </w:p>
    <w:p w14:paraId="660F1295" w14:textId="77777777" w:rsidR="00590392" w:rsidRPr="00BB5FEC" w:rsidRDefault="00590392" w:rsidP="008F79C0">
      <w:pPr>
        <w:pStyle w:val="PargrafodaLista"/>
        <w:spacing w:after="0" w:line="240" w:lineRule="auto"/>
        <w:ind w:left="357" w:firstLine="493"/>
        <w:jc w:val="both"/>
      </w:pPr>
    </w:p>
    <w:p w14:paraId="7411A4E2" w14:textId="7389D602" w:rsidR="003C1C84" w:rsidRPr="00BB5FEC" w:rsidRDefault="00590392" w:rsidP="003C1C84">
      <w:pPr>
        <w:pStyle w:val="PargrafodaLista"/>
        <w:spacing w:after="0" w:line="240" w:lineRule="auto"/>
        <w:ind w:left="357" w:firstLine="493"/>
        <w:jc w:val="both"/>
      </w:pPr>
      <w:r w:rsidRPr="00BB5FEC">
        <w:t xml:space="preserve">Os contratos referem-se </w:t>
      </w:r>
      <w:proofErr w:type="gramStart"/>
      <w:r w:rsidRPr="00BB5FEC">
        <w:t>a</w:t>
      </w:r>
      <w:proofErr w:type="gramEnd"/>
      <w:r w:rsidRPr="00BB5FEC">
        <w:t xml:space="preserve"> prestação de serviços de intermediação na comercialização de créditos de estacionamento rotativo digital</w:t>
      </w:r>
      <w:r w:rsidR="0080507D" w:rsidRPr="00BB5FEC">
        <w:t xml:space="preserve"> celebrado com a BHTRANS</w:t>
      </w:r>
      <w:r w:rsidRPr="00BB5FEC">
        <w:t>, e serviços de desenvolvimento, suporte e manutenção de sistemas</w:t>
      </w:r>
      <w:r w:rsidR="0080507D" w:rsidRPr="00BB5FEC">
        <w:t xml:space="preserve"> celebrado com a BHTRANS e PBH ATIVOS</w:t>
      </w:r>
      <w:r w:rsidRPr="00BB5FEC">
        <w:t>.</w:t>
      </w:r>
      <w:r w:rsidR="003C1C84" w:rsidRPr="00BB5FEC">
        <w:t xml:space="preserve"> Ressalta-se que os valores negociados para estas prestações de serviços seguiram as condições usuais de preços, prazos e condições praticados pela empresa para qualquer outro cliente.</w:t>
      </w:r>
    </w:p>
    <w:p w14:paraId="1EF69116" w14:textId="77777777" w:rsidR="0080507D" w:rsidRPr="00A168D4" w:rsidRDefault="0080507D" w:rsidP="003C1C84">
      <w:pPr>
        <w:pStyle w:val="PargrafodaLista"/>
        <w:spacing w:after="0" w:line="240" w:lineRule="auto"/>
        <w:ind w:left="357" w:firstLine="493"/>
        <w:jc w:val="both"/>
        <w:rPr>
          <w:highlight w:val="yellow"/>
        </w:rPr>
      </w:pPr>
    </w:p>
    <w:p w14:paraId="06821795" w14:textId="77777777" w:rsidR="0043461F" w:rsidRDefault="0043461F" w:rsidP="0043461F">
      <w:pPr>
        <w:spacing w:after="0" w:line="240" w:lineRule="auto"/>
        <w:jc w:val="both"/>
      </w:pPr>
    </w:p>
    <w:sectPr w:rsidR="0043461F" w:rsidSect="00A741EA">
      <w:headerReference w:type="default" r:id="rId24"/>
      <w:footerReference w:type="default" r:id="rId25"/>
      <w:type w:val="continuous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CCEFE" w14:textId="77777777" w:rsidR="0010605F" w:rsidRDefault="0010605F" w:rsidP="00C74361">
      <w:pPr>
        <w:spacing w:after="0" w:line="240" w:lineRule="auto"/>
      </w:pPr>
      <w:r>
        <w:separator/>
      </w:r>
    </w:p>
  </w:endnote>
  <w:endnote w:type="continuationSeparator" w:id="0">
    <w:p w14:paraId="757169BE" w14:textId="77777777" w:rsidR="0010605F" w:rsidRDefault="0010605F" w:rsidP="00C7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00B1" w14:textId="77777777" w:rsidR="00B23337" w:rsidRDefault="00B23337" w:rsidP="003C3224">
    <w:pPr>
      <w:pStyle w:val="Rodap"/>
      <w:pBdr>
        <w:bottom w:val="single" w:sz="12" w:space="1" w:color="auto"/>
      </w:pBdr>
      <w:ind w:right="360"/>
      <w:rPr>
        <w:rFonts w:ascii="Arial" w:hAnsi="Arial"/>
        <w:sz w:val="28"/>
      </w:rPr>
    </w:pPr>
    <w:r>
      <w:rPr>
        <w:rFonts w:ascii="Arial" w:hAnsi="Arial"/>
        <w:sz w:val="28"/>
      </w:rPr>
      <w:t xml:space="preserve">PRODABEL                                                                                             </w:t>
    </w:r>
  </w:p>
  <w:p w14:paraId="26F772B9" w14:textId="77777777" w:rsidR="00B23337" w:rsidRPr="00906BBE" w:rsidRDefault="00B23337" w:rsidP="00906BBE">
    <w:pPr>
      <w:pStyle w:val="Rodap"/>
      <w:rPr>
        <w:rFonts w:ascii="Arial" w:hAnsi="Arial"/>
        <w:b/>
        <w:sz w:val="18"/>
        <w:szCs w:val="18"/>
      </w:rPr>
    </w:pPr>
    <w:r w:rsidRPr="00906BBE">
      <w:rPr>
        <w:rFonts w:ascii="Arial" w:hAnsi="Arial"/>
        <w:b/>
        <w:sz w:val="18"/>
        <w:szCs w:val="18"/>
      </w:rPr>
      <w:t>Empresa de Informática e Informação do Município de Belo Horizonte S/A</w:t>
    </w:r>
  </w:p>
  <w:p w14:paraId="7DF8F6AC" w14:textId="77777777" w:rsidR="00B23337" w:rsidRPr="00906BBE" w:rsidRDefault="00B23337" w:rsidP="00906BBE">
    <w:pPr>
      <w:pStyle w:val="Rodap"/>
      <w:rPr>
        <w:rFonts w:ascii="Arial" w:hAnsi="Arial"/>
        <w:b/>
        <w:sz w:val="18"/>
        <w:szCs w:val="18"/>
      </w:rPr>
    </w:pPr>
    <w:r w:rsidRPr="00906BBE">
      <w:rPr>
        <w:rFonts w:ascii="Arial" w:hAnsi="Arial"/>
        <w:b/>
        <w:sz w:val="18"/>
        <w:szCs w:val="18"/>
      </w:rPr>
      <w:t xml:space="preserve">Av. Presidente Carlos Luz, 1275, 3º andar, </w:t>
    </w:r>
    <w:proofErr w:type="spellStart"/>
    <w:r w:rsidRPr="00906BBE">
      <w:rPr>
        <w:rFonts w:ascii="Arial" w:hAnsi="Arial"/>
        <w:b/>
        <w:sz w:val="18"/>
        <w:szCs w:val="18"/>
      </w:rPr>
      <w:t>sl</w:t>
    </w:r>
    <w:proofErr w:type="spellEnd"/>
    <w:r w:rsidRPr="00906BBE">
      <w:rPr>
        <w:rFonts w:ascii="Arial" w:hAnsi="Arial"/>
        <w:b/>
        <w:sz w:val="18"/>
        <w:szCs w:val="18"/>
      </w:rPr>
      <w:t>. 312 – Caiçara – Telefone: (31) 3277-7531</w:t>
    </w:r>
  </w:p>
  <w:p w14:paraId="531C3206" w14:textId="532EE112" w:rsidR="00B23337" w:rsidRPr="00906BBE" w:rsidRDefault="00B23337" w:rsidP="00906BBE">
    <w:pPr>
      <w:pStyle w:val="Rodap"/>
      <w:rPr>
        <w:rFonts w:ascii="Arial" w:hAnsi="Arial"/>
        <w:b/>
        <w:sz w:val="18"/>
        <w:szCs w:val="18"/>
      </w:rPr>
    </w:pPr>
    <w:r w:rsidRPr="00906BBE">
      <w:rPr>
        <w:rFonts w:ascii="Arial" w:hAnsi="Arial"/>
        <w:b/>
        <w:sz w:val="18"/>
        <w:szCs w:val="18"/>
      </w:rPr>
      <w:t>CEP: 31.230-000 – Belo Horizonte – MG – Brasil</w:t>
    </w:r>
  </w:p>
  <w:sdt>
    <w:sdtPr>
      <w:rPr>
        <w:sz w:val="16"/>
        <w:szCs w:val="16"/>
      </w:rPr>
      <w:id w:val="-1669238322"/>
      <w:docPartObj>
        <w:docPartGallery w:val="Page Numbers (Top of Page)"/>
        <w:docPartUnique/>
      </w:docPartObj>
    </w:sdtPr>
    <w:sdtContent>
      <w:p w14:paraId="377ED01B" w14:textId="3F0EE526" w:rsidR="00B23337" w:rsidRPr="0069203A" w:rsidRDefault="00B23337" w:rsidP="0069203A">
        <w:pPr>
          <w:pStyle w:val="Rodap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Página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>PAGE</w:instrText>
        </w:r>
        <w:r>
          <w:rPr>
            <w:bCs/>
            <w:sz w:val="16"/>
            <w:szCs w:val="16"/>
          </w:rPr>
          <w:fldChar w:fldCharType="separate"/>
        </w:r>
        <w:r w:rsidR="00A168D4">
          <w:rPr>
            <w:bCs/>
            <w:noProof/>
            <w:sz w:val="16"/>
            <w:szCs w:val="16"/>
          </w:rPr>
          <w:t>2</w:t>
        </w:r>
        <w:r>
          <w:rPr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de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>NUMPAGES</w:instrText>
        </w:r>
        <w:r>
          <w:rPr>
            <w:bCs/>
            <w:sz w:val="16"/>
            <w:szCs w:val="16"/>
          </w:rPr>
          <w:fldChar w:fldCharType="separate"/>
        </w:r>
        <w:r w:rsidR="00A168D4">
          <w:rPr>
            <w:bCs/>
            <w:noProof/>
            <w:sz w:val="16"/>
            <w:szCs w:val="16"/>
          </w:rPr>
          <w:t>10</w:t>
        </w:r>
        <w:r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61C7E" w14:textId="77777777" w:rsidR="0010605F" w:rsidRDefault="0010605F" w:rsidP="00C74361">
      <w:pPr>
        <w:spacing w:after="0" w:line="240" w:lineRule="auto"/>
      </w:pPr>
      <w:r>
        <w:separator/>
      </w:r>
    </w:p>
  </w:footnote>
  <w:footnote w:type="continuationSeparator" w:id="0">
    <w:p w14:paraId="48A941B2" w14:textId="77777777" w:rsidR="0010605F" w:rsidRDefault="0010605F" w:rsidP="00C7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3507" w14:textId="64E6ACDB" w:rsidR="0096350F" w:rsidRDefault="0096350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4033D3" wp14:editId="00822754">
          <wp:simplePos x="0" y="0"/>
          <wp:positionH relativeFrom="column">
            <wp:posOffset>-167005</wp:posOffset>
          </wp:positionH>
          <wp:positionV relativeFrom="paragraph">
            <wp:posOffset>-149225</wp:posOffset>
          </wp:positionV>
          <wp:extent cx="1640840" cy="5721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C4354" w14:textId="77777777" w:rsidR="0096350F" w:rsidRDefault="0096350F">
    <w:pPr>
      <w:pStyle w:val="Cabealho"/>
    </w:pPr>
  </w:p>
  <w:p w14:paraId="51D01AEA" w14:textId="50D70BA6" w:rsidR="0096350F" w:rsidRDefault="009635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A0354"/>
    <w:multiLevelType w:val="hybridMultilevel"/>
    <w:tmpl w:val="0DEC7C40"/>
    <w:lvl w:ilvl="0" w:tplc="A622D8B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4FBE"/>
    <w:multiLevelType w:val="hybridMultilevel"/>
    <w:tmpl w:val="6CC67E50"/>
    <w:lvl w:ilvl="0" w:tplc="29F86D5A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EF064B"/>
    <w:multiLevelType w:val="multilevel"/>
    <w:tmpl w:val="D2FCBD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627B418E"/>
    <w:multiLevelType w:val="hybridMultilevel"/>
    <w:tmpl w:val="A748E802"/>
    <w:lvl w:ilvl="0" w:tplc="005A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5747F"/>
    <w:multiLevelType w:val="hybridMultilevel"/>
    <w:tmpl w:val="1EC4B5AE"/>
    <w:lvl w:ilvl="0" w:tplc="B712E6A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141F14"/>
    <w:multiLevelType w:val="hybridMultilevel"/>
    <w:tmpl w:val="F2A099AE"/>
    <w:lvl w:ilvl="0" w:tplc="041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359428082">
    <w:abstractNumId w:val="0"/>
  </w:num>
  <w:num w:numId="2" w16cid:durableId="1442647089">
    <w:abstractNumId w:val="1"/>
  </w:num>
  <w:num w:numId="3" w16cid:durableId="1054039928">
    <w:abstractNumId w:val="4"/>
  </w:num>
  <w:num w:numId="4" w16cid:durableId="141044251">
    <w:abstractNumId w:val="2"/>
  </w:num>
  <w:num w:numId="5" w16cid:durableId="43255188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9756408">
    <w:abstractNumId w:val="3"/>
  </w:num>
  <w:num w:numId="7" w16cid:durableId="766922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D0"/>
    <w:rsid w:val="00002421"/>
    <w:rsid w:val="00003E2F"/>
    <w:rsid w:val="00004AA7"/>
    <w:rsid w:val="0000701A"/>
    <w:rsid w:val="0001054A"/>
    <w:rsid w:val="00010E1E"/>
    <w:rsid w:val="00022187"/>
    <w:rsid w:val="00022B68"/>
    <w:rsid w:val="00030436"/>
    <w:rsid w:val="00031338"/>
    <w:rsid w:val="00035459"/>
    <w:rsid w:val="00036D6D"/>
    <w:rsid w:val="0004042F"/>
    <w:rsid w:val="00043D17"/>
    <w:rsid w:val="0004566C"/>
    <w:rsid w:val="00047DC0"/>
    <w:rsid w:val="00057F27"/>
    <w:rsid w:val="0007036F"/>
    <w:rsid w:val="000720EC"/>
    <w:rsid w:val="000739CE"/>
    <w:rsid w:val="00075E32"/>
    <w:rsid w:val="0008506D"/>
    <w:rsid w:val="00090C33"/>
    <w:rsid w:val="00093A80"/>
    <w:rsid w:val="00094AD2"/>
    <w:rsid w:val="000961B7"/>
    <w:rsid w:val="000A15B0"/>
    <w:rsid w:val="000A4CC0"/>
    <w:rsid w:val="000A710C"/>
    <w:rsid w:val="000B4713"/>
    <w:rsid w:val="000B7270"/>
    <w:rsid w:val="000B7F92"/>
    <w:rsid w:val="000C090B"/>
    <w:rsid w:val="000C10C7"/>
    <w:rsid w:val="000C4D23"/>
    <w:rsid w:val="000C6749"/>
    <w:rsid w:val="000D4A14"/>
    <w:rsid w:val="000D4F7B"/>
    <w:rsid w:val="000D77B3"/>
    <w:rsid w:val="000E0439"/>
    <w:rsid w:val="000E21C6"/>
    <w:rsid w:val="000E38AF"/>
    <w:rsid w:val="000E69A6"/>
    <w:rsid w:val="000E6BE9"/>
    <w:rsid w:val="000F3999"/>
    <w:rsid w:val="000F43D3"/>
    <w:rsid w:val="000F7835"/>
    <w:rsid w:val="00100696"/>
    <w:rsid w:val="00101D40"/>
    <w:rsid w:val="0010605F"/>
    <w:rsid w:val="00110DA7"/>
    <w:rsid w:val="00114997"/>
    <w:rsid w:val="001149DC"/>
    <w:rsid w:val="0011502A"/>
    <w:rsid w:val="001201ED"/>
    <w:rsid w:val="00120CA8"/>
    <w:rsid w:val="00122CDD"/>
    <w:rsid w:val="001254FB"/>
    <w:rsid w:val="001311C0"/>
    <w:rsid w:val="0014263A"/>
    <w:rsid w:val="00143332"/>
    <w:rsid w:val="001435DD"/>
    <w:rsid w:val="001478E7"/>
    <w:rsid w:val="00147B20"/>
    <w:rsid w:val="00173B46"/>
    <w:rsid w:val="00184C44"/>
    <w:rsid w:val="00185877"/>
    <w:rsid w:val="001878D3"/>
    <w:rsid w:val="001945C0"/>
    <w:rsid w:val="001975C6"/>
    <w:rsid w:val="001A4A76"/>
    <w:rsid w:val="001A5A8D"/>
    <w:rsid w:val="001A7A3F"/>
    <w:rsid w:val="001B1FDF"/>
    <w:rsid w:val="001B3346"/>
    <w:rsid w:val="001B60CB"/>
    <w:rsid w:val="001B6653"/>
    <w:rsid w:val="001C266D"/>
    <w:rsid w:val="001C7EA7"/>
    <w:rsid w:val="001D37D8"/>
    <w:rsid w:val="001D5887"/>
    <w:rsid w:val="001D5A73"/>
    <w:rsid w:val="001D5C47"/>
    <w:rsid w:val="001D7B01"/>
    <w:rsid w:val="001E098A"/>
    <w:rsid w:val="001E62B4"/>
    <w:rsid w:val="001F574F"/>
    <w:rsid w:val="00207992"/>
    <w:rsid w:val="00210519"/>
    <w:rsid w:val="002110D1"/>
    <w:rsid w:val="00211104"/>
    <w:rsid w:val="00212083"/>
    <w:rsid w:val="00214215"/>
    <w:rsid w:val="00220C30"/>
    <w:rsid w:val="00221940"/>
    <w:rsid w:val="00223553"/>
    <w:rsid w:val="00242256"/>
    <w:rsid w:val="00245C97"/>
    <w:rsid w:val="00250F4A"/>
    <w:rsid w:val="0025228A"/>
    <w:rsid w:val="002535DB"/>
    <w:rsid w:val="002544E2"/>
    <w:rsid w:val="00256E4B"/>
    <w:rsid w:val="00257D14"/>
    <w:rsid w:val="002629EB"/>
    <w:rsid w:val="00263289"/>
    <w:rsid w:val="002678DD"/>
    <w:rsid w:val="00270A4D"/>
    <w:rsid w:val="0027213E"/>
    <w:rsid w:val="00272F3E"/>
    <w:rsid w:val="0027459A"/>
    <w:rsid w:val="002748C5"/>
    <w:rsid w:val="002749C9"/>
    <w:rsid w:val="00275A19"/>
    <w:rsid w:val="0027758C"/>
    <w:rsid w:val="00287857"/>
    <w:rsid w:val="00287F1E"/>
    <w:rsid w:val="002901DA"/>
    <w:rsid w:val="00293074"/>
    <w:rsid w:val="00295B4F"/>
    <w:rsid w:val="00296C2A"/>
    <w:rsid w:val="00296C8B"/>
    <w:rsid w:val="002A0B7C"/>
    <w:rsid w:val="002A0F21"/>
    <w:rsid w:val="002A4707"/>
    <w:rsid w:val="002A47A3"/>
    <w:rsid w:val="002A58FE"/>
    <w:rsid w:val="002A721D"/>
    <w:rsid w:val="002B10C4"/>
    <w:rsid w:val="002B1294"/>
    <w:rsid w:val="002B2351"/>
    <w:rsid w:val="002C21D9"/>
    <w:rsid w:val="002C2B61"/>
    <w:rsid w:val="002D1E2A"/>
    <w:rsid w:val="002D2CB3"/>
    <w:rsid w:val="002D3C4F"/>
    <w:rsid w:val="002D6BAA"/>
    <w:rsid w:val="002D6FC7"/>
    <w:rsid w:val="002E0298"/>
    <w:rsid w:val="002E1516"/>
    <w:rsid w:val="002E790D"/>
    <w:rsid w:val="002F4A7A"/>
    <w:rsid w:val="002F76A8"/>
    <w:rsid w:val="003003B5"/>
    <w:rsid w:val="00304C1B"/>
    <w:rsid w:val="003231FF"/>
    <w:rsid w:val="0033189B"/>
    <w:rsid w:val="0033450E"/>
    <w:rsid w:val="003430FA"/>
    <w:rsid w:val="0034412B"/>
    <w:rsid w:val="00347B4A"/>
    <w:rsid w:val="0036477D"/>
    <w:rsid w:val="00366C4D"/>
    <w:rsid w:val="003671E2"/>
    <w:rsid w:val="003744A1"/>
    <w:rsid w:val="0037460D"/>
    <w:rsid w:val="00374786"/>
    <w:rsid w:val="003801C0"/>
    <w:rsid w:val="00380E0E"/>
    <w:rsid w:val="0038190C"/>
    <w:rsid w:val="003827AF"/>
    <w:rsid w:val="0038486C"/>
    <w:rsid w:val="003860A3"/>
    <w:rsid w:val="00392945"/>
    <w:rsid w:val="00393BE4"/>
    <w:rsid w:val="003A2700"/>
    <w:rsid w:val="003A3A67"/>
    <w:rsid w:val="003A3CCB"/>
    <w:rsid w:val="003B01E0"/>
    <w:rsid w:val="003B2C0A"/>
    <w:rsid w:val="003B71E1"/>
    <w:rsid w:val="003C1C84"/>
    <w:rsid w:val="003C3224"/>
    <w:rsid w:val="003C52BB"/>
    <w:rsid w:val="003D29D1"/>
    <w:rsid w:val="003D446B"/>
    <w:rsid w:val="003D4E86"/>
    <w:rsid w:val="003D7C34"/>
    <w:rsid w:val="003E062B"/>
    <w:rsid w:val="003F0EA1"/>
    <w:rsid w:val="003F7060"/>
    <w:rsid w:val="0040086E"/>
    <w:rsid w:val="004078C5"/>
    <w:rsid w:val="004172E9"/>
    <w:rsid w:val="00417784"/>
    <w:rsid w:val="0042184B"/>
    <w:rsid w:val="00423A87"/>
    <w:rsid w:val="00430524"/>
    <w:rsid w:val="0043290E"/>
    <w:rsid w:val="00432F80"/>
    <w:rsid w:val="004338C4"/>
    <w:rsid w:val="0043461F"/>
    <w:rsid w:val="00434BEE"/>
    <w:rsid w:val="004378D7"/>
    <w:rsid w:val="00437ADB"/>
    <w:rsid w:val="004424C8"/>
    <w:rsid w:val="0044591F"/>
    <w:rsid w:val="00455EC1"/>
    <w:rsid w:val="00457B07"/>
    <w:rsid w:val="00460A53"/>
    <w:rsid w:val="004650A4"/>
    <w:rsid w:val="00466FDF"/>
    <w:rsid w:val="00467BB7"/>
    <w:rsid w:val="00467E3E"/>
    <w:rsid w:val="00473F9C"/>
    <w:rsid w:val="004779A0"/>
    <w:rsid w:val="0048297A"/>
    <w:rsid w:val="00482A18"/>
    <w:rsid w:val="004850E9"/>
    <w:rsid w:val="00485400"/>
    <w:rsid w:val="00485D06"/>
    <w:rsid w:val="004927F2"/>
    <w:rsid w:val="00492B47"/>
    <w:rsid w:val="0049399F"/>
    <w:rsid w:val="0049499D"/>
    <w:rsid w:val="00494DF5"/>
    <w:rsid w:val="00496975"/>
    <w:rsid w:val="00496E84"/>
    <w:rsid w:val="004A5B60"/>
    <w:rsid w:val="004A6D8B"/>
    <w:rsid w:val="004B403E"/>
    <w:rsid w:val="004B6E07"/>
    <w:rsid w:val="004B6EC6"/>
    <w:rsid w:val="004C57CF"/>
    <w:rsid w:val="004C5BCC"/>
    <w:rsid w:val="004C65CC"/>
    <w:rsid w:val="004C74B6"/>
    <w:rsid w:val="004D1B6E"/>
    <w:rsid w:val="004D4241"/>
    <w:rsid w:val="004E17D9"/>
    <w:rsid w:val="004E1E51"/>
    <w:rsid w:val="004E2CF4"/>
    <w:rsid w:val="004E4454"/>
    <w:rsid w:val="004F3685"/>
    <w:rsid w:val="004F4FA7"/>
    <w:rsid w:val="004F5A41"/>
    <w:rsid w:val="00504A0E"/>
    <w:rsid w:val="00507769"/>
    <w:rsid w:val="00510B29"/>
    <w:rsid w:val="00512E61"/>
    <w:rsid w:val="005136AD"/>
    <w:rsid w:val="00517FA0"/>
    <w:rsid w:val="005206BE"/>
    <w:rsid w:val="0052404D"/>
    <w:rsid w:val="00530116"/>
    <w:rsid w:val="00532489"/>
    <w:rsid w:val="00534914"/>
    <w:rsid w:val="0054607C"/>
    <w:rsid w:val="00553719"/>
    <w:rsid w:val="00555446"/>
    <w:rsid w:val="00564332"/>
    <w:rsid w:val="00567FED"/>
    <w:rsid w:val="00570D3F"/>
    <w:rsid w:val="0057201D"/>
    <w:rsid w:val="005720E1"/>
    <w:rsid w:val="005751A4"/>
    <w:rsid w:val="005818EA"/>
    <w:rsid w:val="00590392"/>
    <w:rsid w:val="005A17DE"/>
    <w:rsid w:val="005A2CC8"/>
    <w:rsid w:val="005A3B7E"/>
    <w:rsid w:val="005A49EC"/>
    <w:rsid w:val="005A573B"/>
    <w:rsid w:val="005A6B4D"/>
    <w:rsid w:val="005A70A3"/>
    <w:rsid w:val="005A7F82"/>
    <w:rsid w:val="005B0910"/>
    <w:rsid w:val="005B1CCA"/>
    <w:rsid w:val="005B26B4"/>
    <w:rsid w:val="005B3C7A"/>
    <w:rsid w:val="005B4688"/>
    <w:rsid w:val="005B5A15"/>
    <w:rsid w:val="005C0141"/>
    <w:rsid w:val="005C1B4E"/>
    <w:rsid w:val="005C30C8"/>
    <w:rsid w:val="005C3BD6"/>
    <w:rsid w:val="005C48FF"/>
    <w:rsid w:val="005C780A"/>
    <w:rsid w:val="005D21C3"/>
    <w:rsid w:val="005D3B3B"/>
    <w:rsid w:val="005D4CE5"/>
    <w:rsid w:val="005E0B67"/>
    <w:rsid w:val="005E1F67"/>
    <w:rsid w:val="005E3A7B"/>
    <w:rsid w:val="005E5D90"/>
    <w:rsid w:val="00600E35"/>
    <w:rsid w:val="00612BBF"/>
    <w:rsid w:val="00614D05"/>
    <w:rsid w:val="006162B4"/>
    <w:rsid w:val="00616337"/>
    <w:rsid w:val="00620761"/>
    <w:rsid w:val="00621E45"/>
    <w:rsid w:val="006223AD"/>
    <w:rsid w:val="006231C6"/>
    <w:rsid w:val="00624C30"/>
    <w:rsid w:val="00626B68"/>
    <w:rsid w:val="00626F48"/>
    <w:rsid w:val="0063142E"/>
    <w:rsid w:val="006324B1"/>
    <w:rsid w:val="0064309D"/>
    <w:rsid w:val="00643D3F"/>
    <w:rsid w:val="00646F53"/>
    <w:rsid w:val="0065018F"/>
    <w:rsid w:val="00651072"/>
    <w:rsid w:val="00651947"/>
    <w:rsid w:val="00654044"/>
    <w:rsid w:val="00660D23"/>
    <w:rsid w:val="00661C74"/>
    <w:rsid w:val="0066203A"/>
    <w:rsid w:val="0066322B"/>
    <w:rsid w:val="00664490"/>
    <w:rsid w:val="00666EF2"/>
    <w:rsid w:val="00670438"/>
    <w:rsid w:val="006759CB"/>
    <w:rsid w:val="0068082C"/>
    <w:rsid w:val="0068179A"/>
    <w:rsid w:val="006819FF"/>
    <w:rsid w:val="00684A1E"/>
    <w:rsid w:val="006861D0"/>
    <w:rsid w:val="0069203A"/>
    <w:rsid w:val="006962F9"/>
    <w:rsid w:val="00697A66"/>
    <w:rsid w:val="006A4ED5"/>
    <w:rsid w:val="006B2352"/>
    <w:rsid w:val="006B5085"/>
    <w:rsid w:val="006B5688"/>
    <w:rsid w:val="006B5E6C"/>
    <w:rsid w:val="006B691B"/>
    <w:rsid w:val="006C04C0"/>
    <w:rsid w:val="006C79F0"/>
    <w:rsid w:val="006D0975"/>
    <w:rsid w:val="006D2E4D"/>
    <w:rsid w:val="006D5BEC"/>
    <w:rsid w:val="006E00AE"/>
    <w:rsid w:val="006E02A4"/>
    <w:rsid w:val="006E1845"/>
    <w:rsid w:val="006E536A"/>
    <w:rsid w:val="006F1F40"/>
    <w:rsid w:val="006F2712"/>
    <w:rsid w:val="006F29A4"/>
    <w:rsid w:val="006F5A62"/>
    <w:rsid w:val="0070150B"/>
    <w:rsid w:val="00702C6F"/>
    <w:rsid w:val="007033A3"/>
    <w:rsid w:val="007056E4"/>
    <w:rsid w:val="00707692"/>
    <w:rsid w:val="00710473"/>
    <w:rsid w:val="00712445"/>
    <w:rsid w:val="00713C24"/>
    <w:rsid w:val="00716FCB"/>
    <w:rsid w:val="00717AAA"/>
    <w:rsid w:val="00720C26"/>
    <w:rsid w:val="007303B4"/>
    <w:rsid w:val="007304A4"/>
    <w:rsid w:val="00734261"/>
    <w:rsid w:val="00734696"/>
    <w:rsid w:val="00743575"/>
    <w:rsid w:val="0074708E"/>
    <w:rsid w:val="00752422"/>
    <w:rsid w:val="00754218"/>
    <w:rsid w:val="00764922"/>
    <w:rsid w:val="0077110F"/>
    <w:rsid w:val="0077390A"/>
    <w:rsid w:val="00777823"/>
    <w:rsid w:val="00777D1B"/>
    <w:rsid w:val="00782095"/>
    <w:rsid w:val="00783690"/>
    <w:rsid w:val="00785142"/>
    <w:rsid w:val="00785182"/>
    <w:rsid w:val="00786880"/>
    <w:rsid w:val="007874C4"/>
    <w:rsid w:val="007910F9"/>
    <w:rsid w:val="0079268B"/>
    <w:rsid w:val="00793A0B"/>
    <w:rsid w:val="007A1CD4"/>
    <w:rsid w:val="007A483B"/>
    <w:rsid w:val="007A4FE4"/>
    <w:rsid w:val="007A6C3B"/>
    <w:rsid w:val="007B2B78"/>
    <w:rsid w:val="007B758F"/>
    <w:rsid w:val="007C2D55"/>
    <w:rsid w:val="007C4A01"/>
    <w:rsid w:val="007C4E74"/>
    <w:rsid w:val="007C54C3"/>
    <w:rsid w:val="007C595D"/>
    <w:rsid w:val="007D14A0"/>
    <w:rsid w:val="007D1A45"/>
    <w:rsid w:val="007D4699"/>
    <w:rsid w:val="007D57BE"/>
    <w:rsid w:val="007E0F11"/>
    <w:rsid w:val="007E369E"/>
    <w:rsid w:val="007E3F9A"/>
    <w:rsid w:val="007E5F11"/>
    <w:rsid w:val="007E7FA0"/>
    <w:rsid w:val="007F05E5"/>
    <w:rsid w:val="0080140D"/>
    <w:rsid w:val="00802C5F"/>
    <w:rsid w:val="00804676"/>
    <w:rsid w:val="0080507D"/>
    <w:rsid w:val="00805873"/>
    <w:rsid w:val="008208A1"/>
    <w:rsid w:val="00823E16"/>
    <w:rsid w:val="00833004"/>
    <w:rsid w:val="00835016"/>
    <w:rsid w:val="00835E41"/>
    <w:rsid w:val="008371C0"/>
    <w:rsid w:val="00840AA6"/>
    <w:rsid w:val="00840DFB"/>
    <w:rsid w:val="008427A5"/>
    <w:rsid w:val="008446AC"/>
    <w:rsid w:val="00845A67"/>
    <w:rsid w:val="0084733E"/>
    <w:rsid w:val="00855970"/>
    <w:rsid w:val="00867C76"/>
    <w:rsid w:val="00873905"/>
    <w:rsid w:val="00873DD1"/>
    <w:rsid w:val="00875915"/>
    <w:rsid w:val="00876626"/>
    <w:rsid w:val="00880687"/>
    <w:rsid w:val="00881626"/>
    <w:rsid w:val="008929AE"/>
    <w:rsid w:val="008B7359"/>
    <w:rsid w:val="008C06B0"/>
    <w:rsid w:val="008C28FE"/>
    <w:rsid w:val="008C62DB"/>
    <w:rsid w:val="008C7E27"/>
    <w:rsid w:val="008C7EB3"/>
    <w:rsid w:val="008D1BBD"/>
    <w:rsid w:val="008E031B"/>
    <w:rsid w:val="008E1BF2"/>
    <w:rsid w:val="008E2B7A"/>
    <w:rsid w:val="008F395F"/>
    <w:rsid w:val="008F79C0"/>
    <w:rsid w:val="00900187"/>
    <w:rsid w:val="00902971"/>
    <w:rsid w:val="00904AEF"/>
    <w:rsid w:val="00906BBE"/>
    <w:rsid w:val="009114C8"/>
    <w:rsid w:val="009173B6"/>
    <w:rsid w:val="00923E93"/>
    <w:rsid w:val="00924E9A"/>
    <w:rsid w:val="0092545C"/>
    <w:rsid w:val="00925812"/>
    <w:rsid w:val="00926FA9"/>
    <w:rsid w:val="0093072D"/>
    <w:rsid w:val="00935A0C"/>
    <w:rsid w:val="009370C4"/>
    <w:rsid w:val="00940573"/>
    <w:rsid w:val="009425CA"/>
    <w:rsid w:val="009479DD"/>
    <w:rsid w:val="00960EFE"/>
    <w:rsid w:val="00962151"/>
    <w:rsid w:val="0096350F"/>
    <w:rsid w:val="0096478F"/>
    <w:rsid w:val="00970416"/>
    <w:rsid w:val="0097404C"/>
    <w:rsid w:val="00976FAF"/>
    <w:rsid w:val="00977C1C"/>
    <w:rsid w:val="009848F2"/>
    <w:rsid w:val="00990312"/>
    <w:rsid w:val="00992AD1"/>
    <w:rsid w:val="00993BF7"/>
    <w:rsid w:val="00996069"/>
    <w:rsid w:val="009A1E3A"/>
    <w:rsid w:val="009A2B4D"/>
    <w:rsid w:val="009A57F8"/>
    <w:rsid w:val="009A5B12"/>
    <w:rsid w:val="009B4E82"/>
    <w:rsid w:val="009B7205"/>
    <w:rsid w:val="009C3BF0"/>
    <w:rsid w:val="009C5E0C"/>
    <w:rsid w:val="009C7F3E"/>
    <w:rsid w:val="009D4A69"/>
    <w:rsid w:val="009E136A"/>
    <w:rsid w:val="009E2326"/>
    <w:rsid w:val="009E483B"/>
    <w:rsid w:val="009F0826"/>
    <w:rsid w:val="009F1116"/>
    <w:rsid w:val="009F2236"/>
    <w:rsid w:val="009F3023"/>
    <w:rsid w:val="009F40B9"/>
    <w:rsid w:val="00A014BD"/>
    <w:rsid w:val="00A01998"/>
    <w:rsid w:val="00A023E1"/>
    <w:rsid w:val="00A1044C"/>
    <w:rsid w:val="00A108B1"/>
    <w:rsid w:val="00A113AB"/>
    <w:rsid w:val="00A168D4"/>
    <w:rsid w:val="00A25A60"/>
    <w:rsid w:val="00A25BE9"/>
    <w:rsid w:val="00A263C6"/>
    <w:rsid w:val="00A32CFE"/>
    <w:rsid w:val="00A335BD"/>
    <w:rsid w:val="00A34160"/>
    <w:rsid w:val="00A43367"/>
    <w:rsid w:val="00A4771F"/>
    <w:rsid w:val="00A47F3B"/>
    <w:rsid w:val="00A55459"/>
    <w:rsid w:val="00A56E41"/>
    <w:rsid w:val="00A60AEB"/>
    <w:rsid w:val="00A61F67"/>
    <w:rsid w:val="00A725C0"/>
    <w:rsid w:val="00A741EA"/>
    <w:rsid w:val="00A754D4"/>
    <w:rsid w:val="00A7635A"/>
    <w:rsid w:val="00A81D74"/>
    <w:rsid w:val="00A85FB5"/>
    <w:rsid w:val="00A95C40"/>
    <w:rsid w:val="00AA2A2F"/>
    <w:rsid w:val="00AA3288"/>
    <w:rsid w:val="00AA3DB0"/>
    <w:rsid w:val="00AA6260"/>
    <w:rsid w:val="00AB186A"/>
    <w:rsid w:val="00AB5384"/>
    <w:rsid w:val="00AB59C4"/>
    <w:rsid w:val="00AC101A"/>
    <w:rsid w:val="00AC16A3"/>
    <w:rsid w:val="00AD154B"/>
    <w:rsid w:val="00AD2F19"/>
    <w:rsid w:val="00AD4583"/>
    <w:rsid w:val="00AD6D21"/>
    <w:rsid w:val="00AE2D62"/>
    <w:rsid w:val="00AE309A"/>
    <w:rsid w:val="00AE4BC1"/>
    <w:rsid w:val="00AF0285"/>
    <w:rsid w:val="00AF2C6F"/>
    <w:rsid w:val="00B02449"/>
    <w:rsid w:val="00B030AF"/>
    <w:rsid w:val="00B1038D"/>
    <w:rsid w:val="00B11E7B"/>
    <w:rsid w:val="00B12E2F"/>
    <w:rsid w:val="00B17717"/>
    <w:rsid w:val="00B17B32"/>
    <w:rsid w:val="00B211B0"/>
    <w:rsid w:val="00B221AE"/>
    <w:rsid w:val="00B22779"/>
    <w:rsid w:val="00B23337"/>
    <w:rsid w:val="00B25661"/>
    <w:rsid w:val="00B25E1F"/>
    <w:rsid w:val="00B2662C"/>
    <w:rsid w:val="00B315A0"/>
    <w:rsid w:val="00B320D1"/>
    <w:rsid w:val="00B345F6"/>
    <w:rsid w:val="00B34D47"/>
    <w:rsid w:val="00B40E05"/>
    <w:rsid w:val="00B4358F"/>
    <w:rsid w:val="00B53E55"/>
    <w:rsid w:val="00B60A42"/>
    <w:rsid w:val="00B642B9"/>
    <w:rsid w:val="00B6469A"/>
    <w:rsid w:val="00B66177"/>
    <w:rsid w:val="00B767AE"/>
    <w:rsid w:val="00B77B38"/>
    <w:rsid w:val="00B855C9"/>
    <w:rsid w:val="00B856AB"/>
    <w:rsid w:val="00B92650"/>
    <w:rsid w:val="00B96011"/>
    <w:rsid w:val="00B96E96"/>
    <w:rsid w:val="00B97968"/>
    <w:rsid w:val="00BA28AA"/>
    <w:rsid w:val="00BA2F7B"/>
    <w:rsid w:val="00BA3A44"/>
    <w:rsid w:val="00BA47F1"/>
    <w:rsid w:val="00BA562C"/>
    <w:rsid w:val="00BA57DA"/>
    <w:rsid w:val="00BB15E5"/>
    <w:rsid w:val="00BB5FEC"/>
    <w:rsid w:val="00BC7CB4"/>
    <w:rsid w:val="00BD43BF"/>
    <w:rsid w:val="00BD567A"/>
    <w:rsid w:val="00BE07AC"/>
    <w:rsid w:val="00BE30FA"/>
    <w:rsid w:val="00BE562F"/>
    <w:rsid w:val="00BE5ACD"/>
    <w:rsid w:val="00BF1826"/>
    <w:rsid w:val="00BF1F6D"/>
    <w:rsid w:val="00BF4A99"/>
    <w:rsid w:val="00BF6129"/>
    <w:rsid w:val="00BF6494"/>
    <w:rsid w:val="00C00C2C"/>
    <w:rsid w:val="00C0578D"/>
    <w:rsid w:val="00C06506"/>
    <w:rsid w:val="00C122A2"/>
    <w:rsid w:val="00C14FE6"/>
    <w:rsid w:val="00C15495"/>
    <w:rsid w:val="00C20339"/>
    <w:rsid w:val="00C25FA6"/>
    <w:rsid w:val="00C40CB7"/>
    <w:rsid w:val="00C418E7"/>
    <w:rsid w:val="00C44511"/>
    <w:rsid w:val="00C44A94"/>
    <w:rsid w:val="00C53198"/>
    <w:rsid w:val="00C55BDE"/>
    <w:rsid w:val="00C56540"/>
    <w:rsid w:val="00C572D5"/>
    <w:rsid w:val="00C61401"/>
    <w:rsid w:val="00C616BD"/>
    <w:rsid w:val="00C74361"/>
    <w:rsid w:val="00C77CCF"/>
    <w:rsid w:val="00C84D58"/>
    <w:rsid w:val="00C93371"/>
    <w:rsid w:val="00C95822"/>
    <w:rsid w:val="00CA0A2B"/>
    <w:rsid w:val="00CA0F22"/>
    <w:rsid w:val="00CB4B15"/>
    <w:rsid w:val="00CB6282"/>
    <w:rsid w:val="00CC0611"/>
    <w:rsid w:val="00CC0BF0"/>
    <w:rsid w:val="00CC4CE4"/>
    <w:rsid w:val="00CD0019"/>
    <w:rsid w:val="00CD5414"/>
    <w:rsid w:val="00CD6A0A"/>
    <w:rsid w:val="00CE2119"/>
    <w:rsid w:val="00CE489B"/>
    <w:rsid w:val="00CE66F5"/>
    <w:rsid w:val="00CE7651"/>
    <w:rsid w:val="00CF285F"/>
    <w:rsid w:val="00CF501D"/>
    <w:rsid w:val="00CF5A8A"/>
    <w:rsid w:val="00CF7F57"/>
    <w:rsid w:val="00D0085A"/>
    <w:rsid w:val="00D01F3F"/>
    <w:rsid w:val="00D12598"/>
    <w:rsid w:val="00D126BF"/>
    <w:rsid w:val="00D20F48"/>
    <w:rsid w:val="00D232B5"/>
    <w:rsid w:val="00D2398C"/>
    <w:rsid w:val="00D33A84"/>
    <w:rsid w:val="00D51DC1"/>
    <w:rsid w:val="00D57FC2"/>
    <w:rsid w:val="00D63275"/>
    <w:rsid w:val="00D6627A"/>
    <w:rsid w:val="00D67463"/>
    <w:rsid w:val="00D778ED"/>
    <w:rsid w:val="00D8169D"/>
    <w:rsid w:val="00D8568C"/>
    <w:rsid w:val="00D86B96"/>
    <w:rsid w:val="00D91E44"/>
    <w:rsid w:val="00D94E43"/>
    <w:rsid w:val="00DA124C"/>
    <w:rsid w:val="00DB0586"/>
    <w:rsid w:val="00DB45B9"/>
    <w:rsid w:val="00DD04AB"/>
    <w:rsid w:val="00DD177A"/>
    <w:rsid w:val="00DD298C"/>
    <w:rsid w:val="00DD650E"/>
    <w:rsid w:val="00DD69C4"/>
    <w:rsid w:val="00DD71C5"/>
    <w:rsid w:val="00DE0159"/>
    <w:rsid w:val="00DE6558"/>
    <w:rsid w:val="00DF5232"/>
    <w:rsid w:val="00E044CA"/>
    <w:rsid w:val="00E045F9"/>
    <w:rsid w:val="00E077E9"/>
    <w:rsid w:val="00E106F9"/>
    <w:rsid w:val="00E1180C"/>
    <w:rsid w:val="00E11F05"/>
    <w:rsid w:val="00E11F68"/>
    <w:rsid w:val="00E12EA7"/>
    <w:rsid w:val="00E15389"/>
    <w:rsid w:val="00E23C9D"/>
    <w:rsid w:val="00E244EE"/>
    <w:rsid w:val="00E3110C"/>
    <w:rsid w:val="00E363CC"/>
    <w:rsid w:val="00E402FE"/>
    <w:rsid w:val="00E406DA"/>
    <w:rsid w:val="00E42100"/>
    <w:rsid w:val="00E43EE4"/>
    <w:rsid w:val="00E47838"/>
    <w:rsid w:val="00E507A8"/>
    <w:rsid w:val="00E53B67"/>
    <w:rsid w:val="00E55076"/>
    <w:rsid w:val="00E56D09"/>
    <w:rsid w:val="00E615A2"/>
    <w:rsid w:val="00E62231"/>
    <w:rsid w:val="00E62D56"/>
    <w:rsid w:val="00E647A6"/>
    <w:rsid w:val="00E64912"/>
    <w:rsid w:val="00E64C19"/>
    <w:rsid w:val="00E65E4F"/>
    <w:rsid w:val="00E6618B"/>
    <w:rsid w:val="00E713AD"/>
    <w:rsid w:val="00E7183E"/>
    <w:rsid w:val="00E836CC"/>
    <w:rsid w:val="00E84452"/>
    <w:rsid w:val="00E91E30"/>
    <w:rsid w:val="00E955A9"/>
    <w:rsid w:val="00E95E39"/>
    <w:rsid w:val="00E96983"/>
    <w:rsid w:val="00EA12D4"/>
    <w:rsid w:val="00EA3871"/>
    <w:rsid w:val="00EA41B5"/>
    <w:rsid w:val="00EB0D6E"/>
    <w:rsid w:val="00EB35B0"/>
    <w:rsid w:val="00EB37BF"/>
    <w:rsid w:val="00EB565D"/>
    <w:rsid w:val="00EB73AD"/>
    <w:rsid w:val="00EC08C0"/>
    <w:rsid w:val="00EC097D"/>
    <w:rsid w:val="00EC3115"/>
    <w:rsid w:val="00EC3E0B"/>
    <w:rsid w:val="00EC6812"/>
    <w:rsid w:val="00ED2413"/>
    <w:rsid w:val="00ED6F62"/>
    <w:rsid w:val="00EE5DEC"/>
    <w:rsid w:val="00EF0DBC"/>
    <w:rsid w:val="00EF2F58"/>
    <w:rsid w:val="00EF3B29"/>
    <w:rsid w:val="00EF40F7"/>
    <w:rsid w:val="00F03660"/>
    <w:rsid w:val="00F071EE"/>
    <w:rsid w:val="00F22E5D"/>
    <w:rsid w:val="00F36BC9"/>
    <w:rsid w:val="00F4095E"/>
    <w:rsid w:val="00F410BF"/>
    <w:rsid w:val="00F418F7"/>
    <w:rsid w:val="00F44EE0"/>
    <w:rsid w:val="00F56028"/>
    <w:rsid w:val="00F56302"/>
    <w:rsid w:val="00F60653"/>
    <w:rsid w:val="00F6352A"/>
    <w:rsid w:val="00F7229E"/>
    <w:rsid w:val="00F77278"/>
    <w:rsid w:val="00F77785"/>
    <w:rsid w:val="00F96407"/>
    <w:rsid w:val="00FA0EBB"/>
    <w:rsid w:val="00FA0F41"/>
    <w:rsid w:val="00FA22FD"/>
    <w:rsid w:val="00FA4492"/>
    <w:rsid w:val="00FA6271"/>
    <w:rsid w:val="00FB0C7F"/>
    <w:rsid w:val="00FB4862"/>
    <w:rsid w:val="00FC33DE"/>
    <w:rsid w:val="00FC63B4"/>
    <w:rsid w:val="00FC6F69"/>
    <w:rsid w:val="00FD2B64"/>
    <w:rsid w:val="00FE3A1F"/>
    <w:rsid w:val="00FE3A70"/>
    <w:rsid w:val="00FE3D05"/>
    <w:rsid w:val="00FE42C8"/>
    <w:rsid w:val="00FE46C3"/>
    <w:rsid w:val="00FE5D75"/>
    <w:rsid w:val="00FF0BB3"/>
    <w:rsid w:val="00FF1162"/>
    <w:rsid w:val="00FF1EEF"/>
    <w:rsid w:val="00FF3185"/>
    <w:rsid w:val="00FF55AC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57BD5"/>
  <w15:docId w15:val="{26925960-652D-45C2-8E72-E4B47243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1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74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361"/>
  </w:style>
  <w:style w:type="paragraph" w:styleId="Rodap">
    <w:name w:val="footer"/>
    <w:basedOn w:val="Normal"/>
    <w:link w:val="RodapChar"/>
    <w:uiPriority w:val="99"/>
    <w:unhideWhenUsed/>
    <w:rsid w:val="00C74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361"/>
  </w:style>
  <w:style w:type="paragraph" w:styleId="SemEspaamento">
    <w:name w:val="No Spacing"/>
    <w:uiPriority w:val="1"/>
    <w:qFormat/>
    <w:rsid w:val="00E65E4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A2A2F"/>
    <w:pPr>
      <w:ind w:left="720"/>
      <w:contextualSpacing/>
    </w:pPr>
  </w:style>
  <w:style w:type="paragraph" w:customStyle="1" w:styleId="ListaColorida-nfase11">
    <w:name w:val="Lista Colorida - Ênfase 11"/>
    <w:basedOn w:val="Normal"/>
    <w:uiPriority w:val="34"/>
    <w:qFormat/>
    <w:rsid w:val="00AA2A2F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D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487371903872548832western">
    <w:name w:val="m_7487371903872548832western"/>
    <w:basedOn w:val="Normal"/>
    <w:rsid w:val="006C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2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6503</TotalTime>
  <Pages>1</Pages>
  <Words>1695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PRODABEL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de Belo Horizonte</dc:creator>
  <cp:lastModifiedBy>SANDRO RIBEIRO CAMPOS JUNIOR PB003261</cp:lastModifiedBy>
  <cp:revision>271</cp:revision>
  <cp:lastPrinted>2025-05-15T15:20:00Z</cp:lastPrinted>
  <dcterms:created xsi:type="dcterms:W3CDTF">2019-01-28T10:00:00Z</dcterms:created>
  <dcterms:modified xsi:type="dcterms:W3CDTF">2025-05-15T15:20:00Z</dcterms:modified>
</cp:coreProperties>
</file>